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2D" w:rsidRDefault="00E204E0" w:rsidP="00A4542D">
      <w:pPr>
        <w:jc w:val="center"/>
        <w:outlineLvl w:val="1"/>
        <w:rPr>
          <w:b/>
          <w:lang w:val="en-GB"/>
        </w:rPr>
      </w:pPr>
      <w:r>
        <w:rPr>
          <w:b/>
          <w:lang w:val="en-GB"/>
        </w:rPr>
        <w:t>Annex III</w:t>
      </w:r>
    </w:p>
    <w:p w:rsidR="00A4542D" w:rsidRPr="00DC0CF3" w:rsidRDefault="00A4542D" w:rsidP="00A4542D">
      <w:pPr>
        <w:jc w:val="center"/>
        <w:outlineLvl w:val="1"/>
        <w:rPr>
          <w:b/>
        </w:rPr>
      </w:pPr>
      <w:r w:rsidRPr="00DC0CF3">
        <w:rPr>
          <w:b/>
        </w:rPr>
        <w:t>DRAFT Terms of Reference for the Strategic Environmental and Social Assessment f</w:t>
      </w:r>
      <w:r w:rsidR="00E204E0">
        <w:rPr>
          <w:b/>
        </w:rPr>
        <w:t>or the REDD+ Mechanism in Ghana</w:t>
      </w:r>
    </w:p>
    <w:p w:rsidR="00A4542D" w:rsidRPr="00DC0CF3" w:rsidRDefault="00A4542D" w:rsidP="00A4542D">
      <w:pPr>
        <w:outlineLvl w:val="1"/>
        <w:rPr>
          <w:b/>
        </w:rPr>
      </w:pPr>
    </w:p>
    <w:p w:rsidR="00A4542D" w:rsidRPr="000D1EC0" w:rsidRDefault="00A4542D" w:rsidP="00A4542D">
      <w:pPr>
        <w:numPr>
          <w:ilvl w:val="0"/>
          <w:numId w:val="59"/>
        </w:numPr>
        <w:spacing w:before="100" w:beforeAutospacing="1" w:after="100" w:afterAutospacing="1" w:line="276" w:lineRule="auto"/>
      </w:pPr>
      <w:r w:rsidRPr="000D1EC0">
        <w:rPr>
          <w:b/>
        </w:rPr>
        <w:t>Introduction</w:t>
      </w:r>
      <w:r w:rsidRPr="000D1EC0">
        <w:t xml:space="preserve"> </w:t>
      </w:r>
    </w:p>
    <w:p w:rsidR="00A4542D" w:rsidRDefault="00A4542D" w:rsidP="00A4542D">
      <w:r w:rsidRPr="006B4237">
        <w:t>Reducing Emissions from Deforestation and Forest Degradation (REDD+) is a proposed global mechanism to mitigate climate change, while mobilizing financial resources for socio-economic development in forest countries. The Forest Carbon Partnership Facility (FCPF), facilitated by the World Bank, brings together 50 donor and forest countr</w:t>
      </w:r>
      <w:r w:rsidR="00AF3192">
        <w:t>y</w:t>
      </w:r>
      <w:r w:rsidRPr="006B4237">
        <w:t xml:space="preserve"> </w:t>
      </w:r>
      <w:r w:rsidR="00AF3192">
        <w:t xml:space="preserve">participants </w:t>
      </w:r>
      <w:r w:rsidRPr="006B4237">
        <w:t>with the aim o</w:t>
      </w:r>
      <w:r w:rsidR="00AF3192">
        <w:t>f</w:t>
      </w:r>
      <w:r w:rsidRPr="006B4237">
        <w:t xml:space="preserve"> support</w:t>
      </w:r>
      <w:r w:rsidR="00AF3192">
        <w:t>ing</w:t>
      </w:r>
      <w:r w:rsidRPr="006B4237">
        <w:t xml:space="preserve"> the forest countries in the preparation and subsequent implementation of their REDD+ Strategies.</w:t>
      </w:r>
    </w:p>
    <w:p w:rsidR="000B4EBA" w:rsidRPr="006B4237" w:rsidRDefault="000B4EBA" w:rsidP="00A4542D"/>
    <w:p w:rsidR="00A4542D" w:rsidRDefault="00A4542D" w:rsidP="00A4542D">
      <w:r w:rsidRPr="0038683B">
        <w:t>Ghana is a key participant country in the FCPF. The Go</w:t>
      </w:r>
      <w:r w:rsidR="00EC7B5D">
        <w:t xml:space="preserve">vernment of Ghana is currently </w:t>
      </w:r>
      <w:r w:rsidRPr="0038683B">
        <w:t xml:space="preserve">implementing its Readiness Preparation Proposal (R-PP) with regards to </w:t>
      </w:r>
      <w:r w:rsidR="00205E60">
        <w:t xml:space="preserve">the </w:t>
      </w:r>
      <w:r w:rsidRPr="0038683B">
        <w:t>REDD+ Readiness phase, and has requested a FCPF Readiness Preparation Grant to support the design of its REDD</w:t>
      </w:r>
      <w:r w:rsidR="00E71BB9">
        <w:t>+</w:t>
      </w:r>
      <w:r w:rsidRPr="0038683B">
        <w:t xml:space="preserve"> Strategy.  This Strategy aims to control deforestation and degradation in order to reduce green house gas emissions into the atmosphere.</w:t>
      </w:r>
    </w:p>
    <w:p w:rsidR="00A4542D" w:rsidRPr="0038683B" w:rsidRDefault="00A4542D" w:rsidP="00A4542D"/>
    <w:p w:rsidR="00A4542D" w:rsidRPr="006B4237" w:rsidRDefault="00A4542D" w:rsidP="00A4542D">
      <w:r w:rsidRPr="006B4237">
        <w:t xml:space="preserve">Strategic environmental and social assessment (SESA) is a key component of Ghana’s Readiness Preparation Proposal (R-PP) to the Forest Carbon Partnership Facility (FCPF).  This component is essential for both avoiding negative impacts (“do no harm”) and enhancing positive or “additional” REDD benefits, especially in terms of social or livelihood benefits, governance and wider environmental or biodiversity benefits. The SESA is part of the phased approach of the FCPF Readiness Mechanism (preparation of the R-PP and subsequent </w:t>
      </w:r>
      <w:r w:rsidR="00E71BB9">
        <w:t xml:space="preserve">Readiness </w:t>
      </w:r>
      <w:r w:rsidRPr="006B4237">
        <w:t xml:space="preserve">Preparation for REDD+). </w:t>
      </w:r>
      <w:r>
        <w:t xml:space="preserve">The SESA is consistent with </w:t>
      </w:r>
      <w:r w:rsidR="00F63AF6">
        <w:t xml:space="preserve">the </w:t>
      </w:r>
      <w:r w:rsidRPr="006B4237">
        <w:t xml:space="preserve">Strategic Environmental Assessment (SEA) </w:t>
      </w:r>
      <w:r>
        <w:t xml:space="preserve">approach applied </w:t>
      </w:r>
      <w:r w:rsidRPr="006B4237">
        <w:t xml:space="preserve">by </w:t>
      </w:r>
      <w:r>
        <w:t xml:space="preserve">Ghana’s </w:t>
      </w:r>
      <w:r w:rsidRPr="006B4237">
        <w:t>Environmental Protection Agency (EPA).</w:t>
      </w:r>
    </w:p>
    <w:p w:rsidR="00A4542D" w:rsidRPr="000D1EC0" w:rsidRDefault="00A4542D" w:rsidP="00A4542D">
      <w:pPr>
        <w:numPr>
          <w:ilvl w:val="0"/>
          <w:numId w:val="59"/>
        </w:numPr>
        <w:spacing w:before="100" w:beforeAutospacing="1" w:after="100" w:afterAutospacing="1" w:line="276" w:lineRule="auto"/>
        <w:rPr>
          <w:b/>
        </w:rPr>
      </w:pPr>
      <w:r w:rsidRPr="000D1EC0">
        <w:rPr>
          <w:b/>
        </w:rPr>
        <w:t>Objectives</w:t>
      </w:r>
    </w:p>
    <w:p w:rsidR="00A4542D" w:rsidRDefault="00A4542D" w:rsidP="00A4542D">
      <w:r w:rsidRPr="000D1EC0">
        <w:t xml:space="preserve">The overall objective of these </w:t>
      </w:r>
      <w:r w:rsidR="00E204E0">
        <w:t>Terms of Reference (ToR)</w:t>
      </w:r>
      <w:r w:rsidRPr="000D1EC0">
        <w:t xml:space="preserve"> </w:t>
      </w:r>
      <w:r w:rsidR="007D66B5">
        <w:t xml:space="preserve">is </w:t>
      </w:r>
      <w:r w:rsidR="00537DF7">
        <w:t xml:space="preserve">to </w:t>
      </w:r>
      <w:r w:rsidR="00800386">
        <w:t>ensur</w:t>
      </w:r>
      <w:r w:rsidR="00537DF7">
        <w:t>e</w:t>
      </w:r>
      <w:r w:rsidR="00800386">
        <w:t xml:space="preserve"> that </w:t>
      </w:r>
      <w:r w:rsidR="006329C3">
        <w:t xml:space="preserve">Strategic Environmental and Social </w:t>
      </w:r>
      <w:r w:rsidR="000F1B59">
        <w:t>Assessment</w:t>
      </w:r>
      <w:r w:rsidR="006329C3">
        <w:t xml:space="preserve"> (SESA) </w:t>
      </w:r>
      <w:r w:rsidR="00800386">
        <w:t xml:space="preserve">can be applied </w:t>
      </w:r>
      <w:r w:rsidR="007D66B5">
        <w:t>to integrate environmental and social considerations in</w:t>
      </w:r>
      <w:r w:rsidR="00537DF7">
        <w:t>to</w:t>
      </w:r>
      <w:r w:rsidR="007D66B5">
        <w:t xml:space="preserve"> Ghana’s REDD+ </w:t>
      </w:r>
      <w:r w:rsidR="00AA0ECC">
        <w:t>r</w:t>
      </w:r>
      <w:r w:rsidR="007D66B5">
        <w:t xml:space="preserve">eadiness process in a manner consistent with Ghana’s environmental laws and regulations and the World Bank’s environmental and social safeguard policies.  </w:t>
      </w:r>
    </w:p>
    <w:p w:rsidR="00A4542D" w:rsidRPr="000D1EC0" w:rsidRDefault="00A4542D" w:rsidP="00A4542D"/>
    <w:p w:rsidR="00A4542D" w:rsidRDefault="00A4542D" w:rsidP="00A4542D">
      <w:r w:rsidRPr="000D1EC0">
        <w:t xml:space="preserve">In accordance with FCPF guidelines, special consideration should be given to livelihoods, rights, cultural heritage, gender, vulnerable groups, governance, capacity building and biodiversity. </w:t>
      </w:r>
    </w:p>
    <w:p w:rsidR="00A4542D" w:rsidRPr="000D1EC0" w:rsidRDefault="00A4542D" w:rsidP="00A4542D">
      <w:pPr>
        <w:numPr>
          <w:ilvl w:val="0"/>
          <w:numId w:val="59"/>
        </w:numPr>
        <w:spacing w:before="100" w:beforeAutospacing="1" w:after="100" w:afterAutospacing="1" w:line="276" w:lineRule="auto"/>
        <w:rPr>
          <w:b/>
        </w:rPr>
      </w:pPr>
      <w:r w:rsidRPr="000D1EC0">
        <w:rPr>
          <w:b/>
        </w:rPr>
        <w:t>Drivers of deforestation and forest degradation</w:t>
      </w:r>
    </w:p>
    <w:p w:rsidR="00A4542D" w:rsidRPr="000D1EC0" w:rsidRDefault="00A4542D" w:rsidP="00A4542D">
      <w:r w:rsidRPr="000D1EC0">
        <w:t>In Ghana, the problem is essentially one of gradual degradation rather than deforestation, and is incremental</w:t>
      </w:r>
      <w:r w:rsidRPr="000D1EC0">
        <w:rPr>
          <w:iCs/>
        </w:rPr>
        <w:t xml:space="preserve"> rather than dramatic, with no single dominant driver. T</w:t>
      </w:r>
      <w:r w:rsidRPr="000D1EC0">
        <w:t xml:space="preserve">he underlying causes are those typical of </w:t>
      </w:r>
      <w:r w:rsidR="00F63AF6">
        <w:t xml:space="preserve">forest </w:t>
      </w:r>
      <w:r w:rsidRPr="000D1EC0">
        <w:t xml:space="preserve">degradation in the more heavily populated countries of the tropics, and involve a complex of demographic, economic and policy influences. The immediate drivers </w:t>
      </w:r>
      <w:r w:rsidRPr="000D1EC0">
        <w:lastRenderedPageBreak/>
        <w:t xml:space="preserve">include: policy/market failures in the timber sector; burgeoning population in both rural and urban areas, which increases local demand for agricultural and wood products; high demand for wood and forest products on the international market; heavy dependence on charcoal and fuelwood for rural and urban energy; limited technology development in farming systems, and the continued reliance on cyclical </w:t>
      </w:r>
      <w:r w:rsidR="008B7241">
        <w:t>“</w:t>
      </w:r>
      <w:r w:rsidRPr="000D1EC0">
        <w:t>slash and burn</w:t>
      </w:r>
      <w:r w:rsidR="008B7241">
        <w:t>”</w:t>
      </w:r>
      <w:r w:rsidRPr="000D1EC0">
        <w:t xml:space="preserve"> methods to maintain soil fertility.  The prominence of one forest crop in the national economy (cocoa), and recent varietal changes (from shade to full-sun), have also exerted a major influence on trends in forest cover. Mining (industrial and artisanal/small scale) is a concern in some areas, as is the use of fire in livestock management. These drivers</w:t>
      </w:r>
      <w:r w:rsidR="00E21481">
        <w:t>,</w:t>
      </w:r>
      <w:r w:rsidRPr="000D1EC0">
        <w:t xml:space="preserve"> which are fully discussed in the REDD+ Readiness Preparation Proposal (R-PP)</w:t>
      </w:r>
      <w:r w:rsidR="00E21481">
        <w:t xml:space="preserve"> and will be revisited during the preparation of the REDD+ strategy</w:t>
      </w:r>
      <w:r w:rsidRPr="000D1EC0">
        <w:t xml:space="preserve">, are summarized below: </w:t>
      </w:r>
    </w:p>
    <w:p w:rsidR="00A4542D" w:rsidRDefault="00A4542D" w:rsidP="00A4542D">
      <w:pPr>
        <w:spacing w:after="120"/>
        <w:ind w:right="-331"/>
        <w:contextualSpacing/>
      </w:pPr>
    </w:p>
    <w:p w:rsidR="00A4542D" w:rsidRPr="000D1EC0" w:rsidRDefault="00A4542D" w:rsidP="00A4542D">
      <w:pPr>
        <w:spacing w:after="120"/>
        <w:ind w:right="-331"/>
        <w:contextualSpacing/>
      </w:pPr>
      <w:r w:rsidRPr="000D1EC0">
        <w:t>Policy drivers</w:t>
      </w:r>
      <w:r>
        <w:t>:</w:t>
      </w:r>
    </w:p>
    <w:p w:rsidR="00A4542D" w:rsidRPr="000D1EC0" w:rsidRDefault="00A4542D" w:rsidP="00A4542D">
      <w:pPr>
        <w:pStyle w:val="ListParagraph"/>
        <w:numPr>
          <w:ilvl w:val="1"/>
          <w:numId w:val="52"/>
        </w:numPr>
        <w:spacing w:after="120"/>
        <w:ind w:right="-331"/>
      </w:pPr>
      <w:r w:rsidRPr="000D1EC0">
        <w:t>Imbalances of forest exploitation in favor of large scale timber industry</w:t>
      </w:r>
    </w:p>
    <w:p w:rsidR="00A4542D" w:rsidRPr="000D1EC0" w:rsidRDefault="00A4542D" w:rsidP="00A4542D">
      <w:pPr>
        <w:pStyle w:val="ListParagraph"/>
        <w:numPr>
          <w:ilvl w:val="1"/>
          <w:numId w:val="52"/>
        </w:numPr>
        <w:spacing w:after="120"/>
        <w:ind w:right="-331"/>
      </w:pPr>
      <w:r w:rsidRPr="000D1EC0">
        <w:t>Under-priced goods and services</w:t>
      </w:r>
    </w:p>
    <w:p w:rsidR="00A4542D" w:rsidRPr="000D1EC0" w:rsidRDefault="00A4542D" w:rsidP="00A4542D">
      <w:pPr>
        <w:pStyle w:val="ListParagraph"/>
        <w:numPr>
          <w:ilvl w:val="1"/>
          <w:numId w:val="52"/>
        </w:numPr>
        <w:spacing w:after="120"/>
        <w:ind w:right="-331"/>
      </w:pPr>
      <w:r w:rsidRPr="000D1EC0">
        <w:t>Weak regulatory mechanisms and resource rights</w:t>
      </w:r>
    </w:p>
    <w:p w:rsidR="002C5196" w:rsidRPr="000D1EC0" w:rsidRDefault="00A4542D" w:rsidP="00A4542D">
      <w:pPr>
        <w:pStyle w:val="ListParagraph"/>
        <w:numPr>
          <w:ilvl w:val="1"/>
          <w:numId w:val="52"/>
        </w:numPr>
        <w:spacing w:after="120"/>
        <w:ind w:right="-331"/>
      </w:pPr>
      <w:r w:rsidRPr="000D1EC0">
        <w:t>Weak law enforcement</w:t>
      </w:r>
    </w:p>
    <w:p w:rsidR="00A4542D" w:rsidRPr="000D1EC0" w:rsidRDefault="00A4542D" w:rsidP="00A4542D">
      <w:pPr>
        <w:spacing w:after="120"/>
        <w:ind w:right="-331"/>
        <w:contextualSpacing/>
      </w:pPr>
      <w:r w:rsidRPr="000D1EC0">
        <w:t>Demographic drivers</w:t>
      </w:r>
      <w:r>
        <w:t>:</w:t>
      </w:r>
    </w:p>
    <w:p w:rsidR="00A4542D" w:rsidRPr="000D1EC0" w:rsidRDefault="00A4542D" w:rsidP="00A4542D">
      <w:pPr>
        <w:pStyle w:val="ListParagraph"/>
        <w:numPr>
          <w:ilvl w:val="1"/>
          <w:numId w:val="52"/>
        </w:numPr>
        <w:spacing w:after="120"/>
        <w:ind w:right="-331"/>
      </w:pPr>
      <w:r w:rsidRPr="000D1EC0">
        <w:t>Population growth and urban expansion</w:t>
      </w:r>
    </w:p>
    <w:p w:rsidR="00A4542D" w:rsidRDefault="00A4542D" w:rsidP="00A4542D">
      <w:pPr>
        <w:pStyle w:val="ListParagraph"/>
        <w:numPr>
          <w:ilvl w:val="1"/>
          <w:numId w:val="52"/>
        </w:numPr>
        <w:spacing w:after="120"/>
        <w:ind w:right="-331"/>
      </w:pPr>
      <w:r w:rsidRPr="000D1EC0">
        <w:t>Slash and burn agricultural practices</w:t>
      </w:r>
    </w:p>
    <w:p w:rsidR="00750901" w:rsidRDefault="00A4542D">
      <w:pPr>
        <w:pStyle w:val="ListParagraph"/>
        <w:numPr>
          <w:ilvl w:val="1"/>
          <w:numId w:val="52"/>
        </w:numPr>
        <w:spacing w:after="120"/>
        <w:ind w:right="-331"/>
      </w:pPr>
      <w:r w:rsidRPr="000D1EC0">
        <w:t>Economic drivers</w:t>
      </w:r>
    </w:p>
    <w:p w:rsidR="00A4542D" w:rsidRPr="000D1EC0" w:rsidRDefault="00A4542D" w:rsidP="00A4542D">
      <w:pPr>
        <w:pStyle w:val="ListParagraph"/>
        <w:numPr>
          <w:ilvl w:val="1"/>
          <w:numId w:val="52"/>
        </w:numPr>
        <w:spacing w:after="120"/>
        <w:ind w:right="-331"/>
      </w:pPr>
      <w:r w:rsidRPr="000D1EC0">
        <w:t>High international demand for primary products</w:t>
      </w:r>
    </w:p>
    <w:p w:rsidR="00A4542D" w:rsidRPr="000D1EC0" w:rsidRDefault="00A4542D" w:rsidP="00A4542D">
      <w:pPr>
        <w:pStyle w:val="ListParagraph"/>
        <w:numPr>
          <w:ilvl w:val="1"/>
          <w:numId w:val="52"/>
        </w:numPr>
        <w:spacing w:after="120"/>
        <w:ind w:right="-331"/>
      </w:pPr>
      <w:r w:rsidRPr="000D1EC0">
        <w:t>Low prices for lumber on the domestic market</w:t>
      </w:r>
    </w:p>
    <w:p w:rsidR="00A4542D" w:rsidRPr="000D1EC0" w:rsidRDefault="00A4542D" w:rsidP="00A4542D">
      <w:pPr>
        <w:spacing w:after="120"/>
        <w:ind w:right="-331"/>
        <w:contextualSpacing/>
      </w:pPr>
      <w:r w:rsidRPr="000D1EC0">
        <w:t>Natural forces</w:t>
      </w:r>
      <w:r>
        <w:t>:</w:t>
      </w:r>
    </w:p>
    <w:p w:rsidR="00A4542D" w:rsidRPr="000D1EC0" w:rsidRDefault="00A4542D" w:rsidP="00A4542D">
      <w:pPr>
        <w:pStyle w:val="ListParagraph"/>
        <w:numPr>
          <w:ilvl w:val="1"/>
          <w:numId w:val="52"/>
        </w:numPr>
        <w:spacing w:after="120"/>
        <w:ind w:right="-331"/>
      </w:pPr>
      <w:r w:rsidRPr="000D1EC0">
        <w:t>Wild fires</w:t>
      </w:r>
    </w:p>
    <w:p w:rsidR="00A4542D" w:rsidRPr="000D1EC0" w:rsidRDefault="00A4542D" w:rsidP="00A4542D">
      <w:pPr>
        <w:pStyle w:val="ListParagraph"/>
        <w:numPr>
          <w:ilvl w:val="1"/>
          <w:numId w:val="52"/>
        </w:numPr>
        <w:spacing w:after="120"/>
        <w:ind w:right="-331"/>
      </w:pPr>
      <w:r w:rsidRPr="000D1EC0">
        <w:t>Floods</w:t>
      </w:r>
    </w:p>
    <w:p w:rsidR="00A4542D" w:rsidRPr="000D1EC0" w:rsidRDefault="00A4542D" w:rsidP="00A4542D">
      <w:pPr>
        <w:pStyle w:val="ListParagraph"/>
        <w:numPr>
          <w:ilvl w:val="1"/>
          <w:numId w:val="52"/>
        </w:numPr>
        <w:spacing w:after="120"/>
        <w:ind w:right="-331"/>
      </w:pPr>
      <w:r w:rsidRPr="000D1EC0">
        <w:t>Pests and diseases</w:t>
      </w:r>
    </w:p>
    <w:p w:rsidR="00A4542D" w:rsidRPr="000D1EC0" w:rsidRDefault="00A4542D" w:rsidP="00A4542D">
      <w:pPr>
        <w:numPr>
          <w:ilvl w:val="0"/>
          <w:numId w:val="59"/>
        </w:numPr>
        <w:spacing w:before="100" w:beforeAutospacing="1" w:after="100" w:afterAutospacing="1" w:line="276" w:lineRule="auto"/>
        <w:rPr>
          <w:b/>
        </w:rPr>
      </w:pPr>
      <w:r w:rsidRPr="000D1EC0">
        <w:rPr>
          <w:b/>
        </w:rPr>
        <w:t>REDD+ strategy options</w:t>
      </w:r>
    </w:p>
    <w:p w:rsidR="00A4542D" w:rsidRDefault="00A4542D" w:rsidP="00A4542D">
      <w:r w:rsidRPr="000D1EC0">
        <w:t>Addressing deforestation and forest degradation presents a number of challenges in Ghana, though success in REDD</w:t>
      </w:r>
      <w:r>
        <w:t>+</w:t>
      </w:r>
      <w:r w:rsidRPr="000D1EC0">
        <w:t xml:space="preserve"> policy</w:t>
      </w:r>
      <w:r w:rsidR="008B7241">
        <w:t>making</w:t>
      </w:r>
      <w:r w:rsidRPr="000D1EC0">
        <w:t xml:space="preserve"> would offer significant benefits for the society not only in the area of carbon emissions reductions but also in relation to biodiversity conservation, forest industry, agriculture and rural livelihoods. Below is a list of proposed strategy options for addressing the </w:t>
      </w:r>
      <w:r w:rsidR="006329C3">
        <w:t xml:space="preserve">preliminary </w:t>
      </w:r>
      <w:r w:rsidRPr="000D1EC0">
        <w:t>identified drivers</w:t>
      </w:r>
      <w:r w:rsidR="008B7241">
        <w:t>, according to the R-PP:</w:t>
      </w:r>
      <w:r w:rsidRPr="000D1EC0">
        <w:t xml:space="preserve">  </w:t>
      </w:r>
    </w:p>
    <w:p w:rsidR="00A4542D" w:rsidRPr="000D1EC0" w:rsidRDefault="00A4542D" w:rsidP="00A4542D"/>
    <w:p w:rsidR="00A4542D" w:rsidRPr="000D1EC0" w:rsidRDefault="00A4542D" w:rsidP="00A4542D">
      <w:pPr>
        <w:pStyle w:val="ListParagraph"/>
        <w:numPr>
          <w:ilvl w:val="0"/>
          <w:numId w:val="53"/>
        </w:numPr>
        <w:spacing w:after="120"/>
        <w:ind w:right="-331"/>
        <w:contextualSpacing w:val="0"/>
      </w:pPr>
      <w:r w:rsidRPr="000D1EC0">
        <w:t>Improve participation of stakeholders in policy dialogue and decision making</w:t>
      </w:r>
    </w:p>
    <w:p w:rsidR="00A4542D" w:rsidRPr="000D1EC0" w:rsidRDefault="00A4542D" w:rsidP="00A4542D">
      <w:pPr>
        <w:pStyle w:val="ListParagraph"/>
        <w:numPr>
          <w:ilvl w:val="0"/>
          <w:numId w:val="53"/>
        </w:numPr>
        <w:spacing w:after="120"/>
        <w:ind w:right="-331"/>
        <w:contextualSpacing w:val="0"/>
      </w:pPr>
      <w:r w:rsidRPr="000D1EC0">
        <w:t>Clarify natural resource rights</w:t>
      </w:r>
    </w:p>
    <w:p w:rsidR="00A4542D" w:rsidRPr="000D1EC0" w:rsidRDefault="00A4542D" w:rsidP="00A4542D">
      <w:pPr>
        <w:pStyle w:val="ListParagraph"/>
        <w:numPr>
          <w:ilvl w:val="0"/>
          <w:numId w:val="53"/>
        </w:numPr>
        <w:spacing w:after="120"/>
        <w:ind w:right="-331"/>
        <w:contextualSpacing w:val="0"/>
      </w:pPr>
      <w:r w:rsidRPr="000D1EC0">
        <w:t>Improve forest law enforcement, governance and trade</w:t>
      </w:r>
    </w:p>
    <w:p w:rsidR="00A4542D" w:rsidRPr="000D1EC0" w:rsidRDefault="00A4542D" w:rsidP="00A4542D">
      <w:pPr>
        <w:pStyle w:val="ListParagraph"/>
        <w:numPr>
          <w:ilvl w:val="0"/>
          <w:numId w:val="53"/>
        </w:numPr>
        <w:spacing w:after="120"/>
        <w:ind w:right="-331"/>
        <w:contextualSpacing w:val="0"/>
      </w:pPr>
      <w:r w:rsidRPr="000D1EC0">
        <w:t>Rehabilitation of degraded forest reserves</w:t>
      </w:r>
    </w:p>
    <w:p w:rsidR="00A4542D" w:rsidRPr="000D1EC0" w:rsidRDefault="00A4542D" w:rsidP="00A4542D">
      <w:pPr>
        <w:pStyle w:val="ListParagraph"/>
        <w:numPr>
          <w:ilvl w:val="0"/>
          <w:numId w:val="53"/>
        </w:numPr>
        <w:spacing w:after="120"/>
        <w:ind w:right="-331"/>
        <w:contextualSpacing w:val="0"/>
      </w:pPr>
      <w:r w:rsidRPr="000D1EC0">
        <w:t>Forest plantation development</w:t>
      </w:r>
    </w:p>
    <w:p w:rsidR="00A4542D" w:rsidRPr="000D1EC0" w:rsidRDefault="00A4542D" w:rsidP="00A4542D">
      <w:pPr>
        <w:pStyle w:val="ListParagraph"/>
        <w:numPr>
          <w:ilvl w:val="0"/>
          <w:numId w:val="53"/>
        </w:numPr>
        <w:spacing w:after="120"/>
        <w:ind w:right="-331"/>
        <w:contextualSpacing w:val="0"/>
      </w:pPr>
      <w:r w:rsidRPr="000D1EC0">
        <w:t>Promoting REDD+</w:t>
      </w:r>
      <w:r w:rsidR="00061464">
        <w:t xml:space="preserve"> </w:t>
      </w:r>
      <w:r w:rsidRPr="000D1EC0">
        <w:t xml:space="preserve">friendly </w:t>
      </w:r>
      <w:r w:rsidR="00061464">
        <w:t>c</w:t>
      </w:r>
      <w:r w:rsidR="00061464" w:rsidRPr="000D1EC0">
        <w:t>ocoa</w:t>
      </w:r>
    </w:p>
    <w:p w:rsidR="00A4542D" w:rsidRPr="000D1EC0" w:rsidRDefault="00A4542D" w:rsidP="00A4542D">
      <w:pPr>
        <w:pStyle w:val="ListParagraph"/>
        <w:numPr>
          <w:ilvl w:val="0"/>
          <w:numId w:val="53"/>
        </w:numPr>
        <w:spacing w:after="120"/>
        <w:ind w:right="-331"/>
        <w:contextualSpacing w:val="0"/>
      </w:pPr>
      <w:r w:rsidRPr="000D1EC0">
        <w:lastRenderedPageBreak/>
        <w:t>Improve productivity of farmlands</w:t>
      </w:r>
    </w:p>
    <w:p w:rsidR="001F2662" w:rsidRPr="000D1EC0" w:rsidRDefault="00A4542D" w:rsidP="00A4542D">
      <w:pPr>
        <w:pStyle w:val="ListParagraph"/>
        <w:numPr>
          <w:ilvl w:val="0"/>
          <w:numId w:val="53"/>
        </w:numPr>
        <w:spacing w:after="120"/>
        <w:ind w:right="-331"/>
        <w:contextualSpacing w:val="0"/>
      </w:pPr>
      <w:r w:rsidRPr="000D1EC0">
        <w:t>Strengthened decentralized management of natural resources</w:t>
      </w:r>
    </w:p>
    <w:p w:rsidR="00A4542D" w:rsidRPr="000D1EC0" w:rsidRDefault="00A4542D" w:rsidP="00A4542D">
      <w:pPr>
        <w:pStyle w:val="ListParagraph"/>
        <w:numPr>
          <w:ilvl w:val="0"/>
          <w:numId w:val="53"/>
        </w:numPr>
        <w:spacing w:after="120"/>
        <w:ind w:right="-331"/>
        <w:contextualSpacing w:val="0"/>
      </w:pPr>
      <w:r w:rsidRPr="000D1EC0">
        <w:t>Sustainable fuelwood production and improved efficiency of fuelwood use</w:t>
      </w:r>
    </w:p>
    <w:p w:rsidR="00A4542D" w:rsidRPr="000D1EC0" w:rsidRDefault="00A4542D" w:rsidP="00A4542D">
      <w:pPr>
        <w:pStyle w:val="ListParagraph"/>
        <w:numPr>
          <w:ilvl w:val="0"/>
          <w:numId w:val="53"/>
        </w:numPr>
        <w:spacing w:after="120"/>
        <w:ind w:right="-331"/>
        <w:contextualSpacing w:val="0"/>
      </w:pPr>
      <w:r w:rsidRPr="000D1EC0">
        <w:t>Supply wood legally to the domestic market</w:t>
      </w:r>
    </w:p>
    <w:p w:rsidR="00750901" w:rsidRDefault="00B96BCA">
      <w:pPr>
        <w:numPr>
          <w:ilvl w:val="0"/>
          <w:numId w:val="59"/>
        </w:numPr>
        <w:spacing w:before="100" w:beforeAutospacing="1" w:after="100" w:afterAutospacing="1" w:line="276" w:lineRule="auto"/>
        <w:rPr>
          <w:b/>
        </w:rPr>
      </w:pPr>
      <w:r w:rsidRPr="000D1EC0">
        <w:rPr>
          <w:b/>
        </w:rPr>
        <w:t xml:space="preserve">Links between the </w:t>
      </w:r>
      <w:r>
        <w:rPr>
          <w:b/>
        </w:rPr>
        <w:t>SESA</w:t>
      </w:r>
      <w:r w:rsidRPr="000D1EC0">
        <w:rPr>
          <w:b/>
        </w:rPr>
        <w:t xml:space="preserve"> and the </w:t>
      </w:r>
      <w:r>
        <w:rPr>
          <w:b/>
        </w:rPr>
        <w:t xml:space="preserve">REDD+ Strategy Options </w:t>
      </w:r>
    </w:p>
    <w:p w:rsidR="00750901" w:rsidRDefault="00B96BCA">
      <w:pPr>
        <w:spacing w:before="100" w:beforeAutospacing="1" w:after="100" w:afterAutospacing="1" w:line="276" w:lineRule="auto"/>
      </w:pPr>
      <w:r w:rsidRPr="00B96BCA">
        <w:t xml:space="preserve">The SESA contributes to the REDD+ Readiness process in Ghana in two main ways. </w:t>
      </w:r>
      <w:r w:rsidR="00DE0F13" w:rsidRPr="00AF3192">
        <w:t xml:space="preserve">First, it helps to refine the REDD+ strategy options by assessing how REDD+ strategy options address environmental and social priorities associated </w:t>
      </w:r>
      <w:r w:rsidR="00AF3192">
        <w:t>with</w:t>
      </w:r>
      <w:r w:rsidR="00DE0F13" w:rsidRPr="00AF3192">
        <w:t xml:space="preserve"> current patterns of land use and forest management. Gaps identified through this assessment would lead to adjustments </w:t>
      </w:r>
      <w:r w:rsidR="00A42F08">
        <w:t xml:space="preserve">in </w:t>
      </w:r>
      <w:r w:rsidR="00DE0F13" w:rsidRPr="00AF3192">
        <w:t xml:space="preserve">the REDD+ strategy options to close the gaps. Second, the SESA would produce an Environmental and Social Management Framework that will </w:t>
      </w:r>
      <w:r w:rsidR="00537DF7">
        <w:t xml:space="preserve">outline </w:t>
      </w:r>
      <w:r w:rsidR="00DE0F13" w:rsidRPr="00AF3192">
        <w:t xml:space="preserve">the procedures to be followed for managing potential environmental and social impacts of specific policies, actions and projects during the implementation of the REDD+ strategy </w:t>
      </w:r>
      <w:r w:rsidR="00537DF7">
        <w:t>that is finally selected</w:t>
      </w:r>
      <w:r w:rsidR="00B00DC1" w:rsidRPr="000E10DD">
        <w:t>.</w:t>
      </w:r>
    </w:p>
    <w:p w:rsidR="00750901" w:rsidRDefault="00A4542D">
      <w:pPr>
        <w:numPr>
          <w:ilvl w:val="0"/>
          <w:numId w:val="59"/>
        </w:numPr>
        <w:spacing w:before="100" w:beforeAutospacing="1" w:after="100" w:afterAutospacing="1" w:line="276" w:lineRule="auto"/>
        <w:rPr>
          <w:b/>
        </w:rPr>
      </w:pPr>
      <w:r w:rsidRPr="000D1EC0">
        <w:rPr>
          <w:b/>
        </w:rPr>
        <w:t xml:space="preserve">Strategic Environmental and Social Assessment </w:t>
      </w:r>
    </w:p>
    <w:p w:rsidR="00750901" w:rsidRDefault="00C77A6A">
      <w:pPr>
        <w:spacing w:before="100" w:beforeAutospacing="1" w:after="100" w:afterAutospacing="1" w:line="276" w:lineRule="auto"/>
      </w:pPr>
      <w:r>
        <w:t xml:space="preserve">The SESA will integrate environmental and social considerations in the REDD+ strategy options and </w:t>
      </w:r>
      <w:r w:rsidR="00E63C49">
        <w:t xml:space="preserve">will </w:t>
      </w:r>
      <w:r w:rsidR="006A709A">
        <w:t>provide a framework for managing</w:t>
      </w:r>
      <w:r>
        <w:t xml:space="preserve"> potential environmental and social impacts associated with the implementation of these </w:t>
      </w:r>
      <w:r w:rsidR="006A709A">
        <w:t xml:space="preserve">strategy </w:t>
      </w:r>
      <w:r>
        <w:t>options through the combination of analytical work</w:t>
      </w:r>
      <w:r w:rsidR="00FD4985">
        <w:t xml:space="preserve">, </w:t>
      </w:r>
      <w:r w:rsidR="006A709A">
        <w:t xml:space="preserve">consultation and </w:t>
      </w:r>
      <w:r>
        <w:t>public partic</w:t>
      </w:r>
      <w:r w:rsidR="006A709A">
        <w:t xml:space="preserve">ipation. Appendix </w:t>
      </w:r>
      <w:r w:rsidR="00591699">
        <w:t>1</w:t>
      </w:r>
      <w:r w:rsidR="006A709A">
        <w:t xml:space="preserve"> provides the schematic </w:t>
      </w:r>
      <w:r w:rsidR="002C6D5C">
        <w:t xml:space="preserve">diagram </w:t>
      </w:r>
      <w:r w:rsidR="006A709A">
        <w:t>of SESA.</w:t>
      </w:r>
      <w:r w:rsidR="00591699">
        <w:t xml:space="preserve"> The upper part of Appendix 1summarizes the Ghana</w:t>
      </w:r>
      <w:r w:rsidR="00430D3E">
        <w:t>’s</w:t>
      </w:r>
      <w:r w:rsidR="00591699">
        <w:t xml:space="preserve"> approach for sectoral SEA that comprises five steps: preparation/screening, scoping, assessment, monitoring and evaluation, and reporting. </w:t>
      </w:r>
      <w:r w:rsidR="00EF51EA">
        <w:t>Consistent with these steps</w:t>
      </w:r>
      <w:r w:rsidR="004616EB">
        <w:t>,</w:t>
      </w:r>
      <w:r w:rsidR="00EF51EA">
        <w:t xml:space="preserve"> the SESA for the REDD+ readiness process is summarized in the middle and lower part</w:t>
      </w:r>
      <w:r w:rsidR="002C6D5C">
        <w:t>s</w:t>
      </w:r>
      <w:r w:rsidR="00EF51EA">
        <w:t xml:space="preserve"> of Appendix </w:t>
      </w:r>
      <w:r w:rsidR="004616EB">
        <w:t xml:space="preserve">1. </w:t>
      </w:r>
      <w:r w:rsidR="00EF51EA">
        <w:t xml:space="preserve"> </w:t>
      </w:r>
      <w:r w:rsidR="00FD4985">
        <w:t xml:space="preserve">Monitoring and evaluation procedures (step 4 of the Ghana’s approach to sectoral SEA) are included in the preparation of the ESMF. </w:t>
      </w:r>
    </w:p>
    <w:p w:rsidR="00750901" w:rsidRDefault="004616EB">
      <w:pPr>
        <w:spacing w:before="100" w:beforeAutospacing="1" w:after="100" w:afterAutospacing="1" w:line="276" w:lineRule="auto"/>
      </w:pPr>
      <w:r>
        <w:t>These ToR specify the activities the Consultant should undertake for the SESA in line with the Ghanaian approach for sectoral SEA.</w:t>
      </w:r>
    </w:p>
    <w:p w:rsidR="00750901" w:rsidRDefault="00101053">
      <w:pPr>
        <w:pStyle w:val="ListParagraph"/>
        <w:numPr>
          <w:ilvl w:val="1"/>
          <w:numId w:val="59"/>
        </w:numPr>
        <w:spacing w:after="120" w:line="276" w:lineRule="auto"/>
        <w:ind w:right="-331"/>
        <w:contextualSpacing w:val="0"/>
        <w:jc w:val="both"/>
        <w:rPr>
          <w:b/>
        </w:rPr>
      </w:pPr>
      <w:r w:rsidRPr="00101053">
        <w:rPr>
          <w:b/>
        </w:rPr>
        <w:t xml:space="preserve">Scoping </w:t>
      </w:r>
    </w:p>
    <w:p w:rsidR="00750901" w:rsidRDefault="007A7CCB">
      <w:pPr>
        <w:pStyle w:val="ListParagraph"/>
        <w:numPr>
          <w:ilvl w:val="2"/>
          <w:numId w:val="59"/>
        </w:numPr>
        <w:spacing w:after="200" w:line="276" w:lineRule="auto"/>
        <w:ind w:right="-333"/>
        <w:jc w:val="both"/>
        <w:rPr>
          <w:b/>
        </w:rPr>
      </w:pPr>
      <w:r>
        <w:rPr>
          <w:b/>
        </w:rPr>
        <w:t xml:space="preserve">Consultation and Participation </w:t>
      </w:r>
      <w:r w:rsidR="00ED6210">
        <w:rPr>
          <w:b/>
        </w:rPr>
        <w:t>Activities</w:t>
      </w:r>
    </w:p>
    <w:p w:rsidR="00750901" w:rsidRDefault="00B00DC1">
      <w:pPr>
        <w:spacing w:before="100" w:beforeAutospacing="1" w:after="100" w:afterAutospacing="1" w:line="276" w:lineRule="auto"/>
      </w:pPr>
      <w:r w:rsidRPr="0029545D">
        <w:t>During the preparation of the R-PP, extensive stakeholder analysis was carried out to identify key stakeholders. Notwithstanding, the Consultant at the start of the assignment shall conduct a stakeholder gap analysis to identify any relevant stakeholders that might not have been considered during the R-PP development phase</w:t>
      </w:r>
      <w:r w:rsidR="0096551A" w:rsidRPr="0096551A">
        <w:t xml:space="preserve">. Important among them are community level representatives, Chiefs and land owners, local, regional and national organizations, and women’s </w:t>
      </w:r>
      <w:r w:rsidR="0096551A" w:rsidRPr="0096551A">
        <w:lastRenderedPageBreak/>
        <w:t xml:space="preserve">organizations. </w:t>
      </w:r>
      <w:r w:rsidR="00F70480" w:rsidRPr="0029545D">
        <w:t>The consultant shall then prepare a comprehensive se</w:t>
      </w:r>
      <w:r w:rsidR="008B4E98">
        <w:t xml:space="preserve">t of consultation and participation activities for the SESA based on these </w:t>
      </w:r>
      <w:r w:rsidR="00E204E0">
        <w:t>ToR</w:t>
      </w:r>
      <w:r w:rsidR="008B4E98">
        <w:t>, a review of the consultation and participation plan prepared during the development of the R-PP</w:t>
      </w:r>
      <w:r w:rsidR="000F1B59">
        <w:t xml:space="preserve">, </w:t>
      </w:r>
      <w:r w:rsidR="000F1B59" w:rsidRPr="0096551A">
        <w:t>a</w:t>
      </w:r>
      <w:r w:rsidR="0096551A" w:rsidRPr="0096551A">
        <w:t xml:space="preserve"> review of the consultation and participation experience of the Voluntary Partnership Agreement (VPA)</w:t>
      </w:r>
      <w:r w:rsidR="0096551A" w:rsidRPr="0096551A">
        <w:rPr>
          <w:vertAlign w:val="superscript"/>
        </w:rPr>
        <w:footnoteReference w:id="1"/>
      </w:r>
      <w:r w:rsidR="0096551A" w:rsidRPr="0096551A">
        <w:t xml:space="preserve"> and other experiences and literature which may be relevant for the Ghana context. </w:t>
      </w:r>
      <w:r w:rsidR="00F70480" w:rsidRPr="0029545D">
        <w:t>In carrying out this activity, the consultant sh</w:t>
      </w:r>
      <w:r w:rsidR="008B4E98">
        <w:t xml:space="preserve">all ensure that these activities are in line with the Consultation and Participation Master Plan (and Framework) of the REDD+ Readiness process. The Consultant shall coordinate as needed with other teams assisting the government of </w:t>
      </w:r>
      <w:r w:rsidR="00800386">
        <w:t>Ghana</w:t>
      </w:r>
      <w:r w:rsidR="008B4E98">
        <w:t xml:space="preserve"> in the implementation of the Master Plan.</w:t>
      </w:r>
    </w:p>
    <w:p w:rsidR="00750901" w:rsidRDefault="00101053">
      <w:pPr>
        <w:pStyle w:val="ListParagraph"/>
        <w:spacing w:line="260" w:lineRule="exact"/>
        <w:ind w:left="360"/>
        <w:rPr>
          <w:u w:val="single"/>
        </w:rPr>
      </w:pPr>
      <w:r w:rsidRPr="00101053">
        <w:rPr>
          <w:u w:val="single"/>
        </w:rPr>
        <w:t>National Validation Workshop</w:t>
      </w:r>
    </w:p>
    <w:p w:rsidR="00750901" w:rsidRDefault="0029545D">
      <w:pPr>
        <w:spacing w:before="100" w:beforeAutospacing="1" w:after="100" w:afterAutospacing="1" w:line="276" w:lineRule="auto"/>
      </w:pPr>
      <w:r>
        <w:t xml:space="preserve">The Consultant will prepare a SESA work plan, which will include the consultation and participation activities of SESA. The SESA work plan </w:t>
      </w:r>
      <w:r w:rsidR="002C6D5C">
        <w:t xml:space="preserve">shall be subjected to broad stakeholder validation in a national workshop. </w:t>
      </w:r>
      <w:r w:rsidR="00BD18D6">
        <w:t xml:space="preserve">The </w:t>
      </w:r>
      <w:r w:rsidR="002C6D5C">
        <w:t xml:space="preserve">validation workshop is crucial in defining the </w:t>
      </w:r>
      <w:r w:rsidR="007675F5">
        <w:t xml:space="preserve">legitimacy </w:t>
      </w:r>
      <w:r w:rsidR="002C6D5C">
        <w:t xml:space="preserve">of all subsequent stakeholder consultation and participation processes. Existing platforms and all key stakeholder groups </w:t>
      </w:r>
      <w:r w:rsidR="009F3E34">
        <w:t xml:space="preserve">related to forest management in Ghana </w:t>
      </w:r>
      <w:r w:rsidR="002C6D5C">
        <w:t xml:space="preserve">should therefore be considered. Ample notice shall be given to stakeholder groups and platforms who, as much as possible, shall nominate their own representatives. </w:t>
      </w:r>
    </w:p>
    <w:p w:rsidR="00750901" w:rsidRDefault="002C6D5C">
      <w:pPr>
        <w:spacing w:before="100" w:beforeAutospacing="1" w:after="100" w:afterAutospacing="1" w:line="276" w:lineRule="auto"/>
      </w:pPr>
      <w:r w:rsidRPr="009F3E34">
        <w:t>The workshop should be held at a place which is more readily accessible to the stakeholder groups coming from different parts of the country</w:t>
      </w:r>
      <w:r w:rsidR="00741085" w:rsidRPr="009F3E34">
        <w:t>.</w:t>
      </w:r>
      <w:r w:rsidR="00101053" w:rsidRPr="00101053">
        <w:t xml:space="preserve"> The format and facilitation of the workshop should also ensure that all stakeholders feel comfortable to voice their concerns and that all voices are heard and all inputs considered. </w:t>
      </w:r>
      <w:r w:rsidR="00BD18D6">
        <w:t xml:space="preserve">Among the issues </w:t>
      </w:r>
      <w:r w:rsidR="00101053" w:rsidRPr="00101053">
        <w:t xml:space="preserve">to be discussed should </w:t>
      </w:r>
      <w:r w:rsidR="00BD18D6">
        <w:t xml:space="preserve">be </w:t>
      </w:r>
      <w:r w:rsidR="00101053" w:rsidRPr="00101053">
        <w:t>include</w:t>
      </w:r>
      <w:r w:rsidR="00BD18D6">
        <w:t>d</w:t>
      </w:r>
      <w:r w:rsidR="00101053" w:rsidRPr="00101053">
        <w:t xml:space="preserve"> legitimacy and representativeness of stakeholder groups as well as mechanisms for feedback</w:t>
      </w:r>
      <w:r w:rsidR="009F3E34">
        <w:t xml:space="preserve"> in the SESA process</w:t>
      </w:r>
      <w:r w:rsidRPr="009F3E34">
        <w:t xml:space="preserve">. </w:t>
      </w:r>
      <w:r w:rsidR="009F3E34">
        <w:t>C</w:t>
      </w:r>
      <w:r w:rsidR="00741085" w:rsidRPr="009F3E34">
        <w:t>riteria for including new stakeholders in future consultation and participation</w:t>
      </w:r>
      <w:r w:rsidR="00101053" w:rsidRPr="00101053">
        <w:t xml:space="preserve"> activities</w:t>
      </w:r>
      <w:r w:rsidR="009F3E34" w:rsidRPr="009F3E34">
        <w:t xml:space="preserve"> </w:t>
      </w:r>
      <w:r w:rsidR="009F3E34">
        <w:t xml:space="preserve">would be also agreed as well as </w:t>
      </w:r>
      <w:r w:rsidR="00741085" w:rsidRPr="009F3E34">
        <w:t xml:space="preserve">the rules to be followed to reach agreements along the SESA process. </w:t>
      </w:r>
      <w:r w:rsidRPr="009F3E34">
        <w:t>Views</w:t>
      </w:r>
      <w:r w:rsidR="00101053" w:rsidRPr="00101053">
        <w:t xml:space="preserve">, comments and agreements from the validation workshop should be used by the consultants to finalize the </w:t>
      </w:r>
      <w:r w:rsidR="0087065B">
        <w:t>SESA work</w:t>
      </w:r>
      <w:r w:rsidR="00101053" w:rsidRPr="00101053">
        <w:t xml:space="preserve"> plan. The plan </w:t>
      </w:r>
      <w:r w:rsidR="004C5DFE">
        <w:t xml:space="preserve">and </w:t>
      </w:r>
      <w:r w:rsidR="0087065B">
        <w:t>any</w:t>
      </w:r>
      <w:r w:rsidR="004C5DFE">
        <w:t xml:space="preserve"> other outcomes of the workshop </w:t>
      </w:r>
      <w:r w:rsidR="00101053" w:rsidRPr="00101053">
        <w:t xml:space="preserve">shall then be publicly disclosed </w:t>
      </w:r>
      <w:r w:rsidR="004C5DFE">
        <w:t xml:space="preserve">via </w:t>
      </w:r>
      <w:r w:rsidR="00101053" w:rsidRPr="00101053">
        <w:t xml:space="preserve">the websites of the Forestry </w:t>
      </w:r>
      <w:r w:rsidR="00101053" w:rsidRPr="00101053">
        <w:lastRenderedPageBreak/>
        <w:t>Commission</w:t>
      </w:r>
      <w:r w:rsidR="0087065B">
        <w:t xml:space="preserve">, </w:t>
      </w:r>
      <w:r w:rsidR="00101053" w:rsidRPr="00101053">
        <w:t>the EPA</w:t>
      </w:r>
      <w:r w:rsidR="0087065B">
        <w:t xml:space="preserve"> and Lingo websites</w:t>
      </w:r>
      <w:r w:rsidR="00101053" w:rsidRPr="00101053">
        <w:t>.</w:t>
      </w:r>
      <w:r w:rsidR="0087065B">
        <w:t xml:space="preserve"> </w:t>
      </w:r>
      <w:r w:rsidR="0087065B" w:rsidRPr="0087065B">
        <w:t xml:space="preserve">For reaching out local communities a plan summary will be communicated by </w:t>
      </w:r>
      <w:r w:rsidR="00AA0ECC">
        <w:t>r</w:t>
      </w:r>
      <w:r w:rsidR="0087065B" w:rsidRPr="0087065B">
        <w:t>adio in a culturally sensitive format.</w:t>
      </w:r>
    </w:p>
    <w:p w:rsidR="00750901" w:rsidRDefault="00101053">
      <w:pPr>
        <w:pStyle w:val="ListParagraph"/>
        <w:numPr>
          <w:ilvl w:val="2"/>
          <w:numId w:val="59"/>
        </w:numPr>
        <w:spacing w:after="200" w:line="276" w:lineRule="auto"/>
        <w:ind w:right="-333"/>
        <w:jc w:val="both"/>
        <w:rPr>
          <w:b/>
        </w:rPr>
      </w:pPr>
      <w:r w:rsidRPr="00101053">
        <w:rPr>
          <w:b/>
        </w:rPr>
        <w:t>Identification of key environmental and social issues</w:t>
      </w:r>
    </w:p>
    <w:p w:rsidR="00750901" w:rsidRDefault="0096551A">
      <w:pPr>
        <w:spacing w:after="200" w:line="276" w:lineRule="auto"/>
        <w:ind w:right="-333"/>
        <w:jc w:val="both"/>
      </w:pPr>
      <w:r w:rsidRPr="0096551A">
        <w:t xml:space="preserve">The Consultant will identify key environmental and social issues associated with deforestation and forest degradation in Ghana to inform the selection of environmental and social priorities. </w:t>
      </w:r>
      <w:r w:rsidR="00800386">
        <w:t>This proposed identification of key issues should be based on analytical work using spatial analysis, case studies and participatory rural appraisal methods. Spatial analysis will be applied in mapping and for overlaying different sets of information to identify critical areas of concentration of environmental and social issues. Case studies will be used to show opportunity costs of different land uses including environmental and ecosystems valuation. Case studies will also help to di</w:t>
      </w:r>
      <w:r w:rsidR="00454046">
        <w:t>g deeper into key issues, inter-</w:t>
      </w:r>
      <w:r w:rsidR="00800386">
        <w:t>sector</w:t>
      </w:r>
      <w:r w:rsidR="00454046">
        <w:t>al</w:t>
      </w:r>
      <w:r w:rsidR="00800386">
        <w:t xml:space="preserve"> linkages, and potential policy trade-offs in key areas. Participatory rural appraisal would be the main vehicle for identifying key environmental and social issues at the community level. For scoping key environmental issues the following steps will be followed:</w:t>
      </w:r>
    </w:p>
    <w:p w:rsidR="00750901" w:rsidRDefault="00337DD7">
      <w:pPr>
        <w:spacing w:after="200" w:line="276" w:lineRule="auto"/>
        <w:ind w:right="-333"/>
        <w:jc w:val="both"/>
      </w:pPr>
      <w:r>
        <w:t>1.- Construction of a base map (first layer), using information on forest cover, river basins</w:t>
      </w:r>
      <w:r w:rsidR="00795337">
        <w:t>,</w:t>
      </w:r>
      <w:r>
        <w:t xml:space="preserve"> water bodies, and salient biodiversity characterist</w:t>
      </w:r>
      <w:r w:rsidR="00E0107E">
        <w:t>ics, including biodiversity hot</w:t>
      </w:r>
      <w:r>
        <w:t>spots and protected areas.</w:t>
      </w:r>
    </w:p>
    <w:p w:rsidR="00750901" w:rsidRDefault="00337DD7">
      <w:pPr>
        <w:spacing w:after="200" w:line="276" w:lineRule="auto"/>
        <w:ind w:right="-333"/>
        <w:jc w:val="both"/>
      </w:pPr>
      <w:r>
        <w:t>2.- Mapping of main economic</w:t>
      </w:r>
      <w:r w:rsidR="00AF0A7E">
        <w:t xml:space="preserve"> activities in forest areas and surroundings including but not limited to logging, farming, agriculture, mining and tourism. The mapping will include information on geological provinces and main production projects under implementation or likely to be implemented in the following five years</w:t>
      </w:r>
      <w:r w:rsidR="00942BD8">
        <w:t xml:space="preserve"> (second layer)</w:t>
      </w:r>
      <w:r w:rsidR="00AF0A7E">
        <w:t>.</w:t>
      </w:r>
    </w:p>
    <w:p w:rsidR="00750901" w:rsidRDefault="00AF0A7E">
      <w:pPr>
        <w:spacing w:after="200" w:line="276" w:lineRule="auto"/>
        <w:ind w:right="-333"/>
        <w:jc w:val="both"/>
      </w:pPr>
      <w:r>
        <w:t>3.- Mapping of existing infrastructure</w:t>
      </w:r>
      <w:r w:rsidR="00942BD8">
        <w:t xml:space="preserve"> and identification of proposed road, rail, and power projects under investigation or implementation (third layer).</w:t>
      </w:r>
    </w:p>
    <w:p w:rsidR="00800386" w:rsidRDefault="00942BD8">
      <w:pPr>
        <w:spacing w:after="200" w:line="276" w:lineRule="auto"/>
        <w:ind w:right="-333"/>
        <w:jc w:val="both"/>
      </w:pPr>
      <w:r>
        <w:t xml:space="preserve">4.- </w:t>
      </w:r>
      <w:r w:rsidR="00D272AA">
        <w:t xml:space="preserve">Superimposition </w:t>
      </w:r>
      <w:r w:rsidR="00B04B72">
        <w:t>of</w:t>
      </w:r>
      <w:r w:rsidR="0060742A">
        <w:t xml:space="preserve"> the</w:t>
      </w:r>
      <w:r w:rsidR="00B04B72">
        <w:t>se</w:t>
      </w:r>
      <w:r w:rsidR="0060742A">
        <w:t xml:space="preserve"> three layers of information</w:t>
      </w:r>
      <w:r w:rsidR="00F27233">
        <w:t xml:space="preserve">, together with layers dealing with social issues, </w:t>
      </w:r>
      <w:r w:rsidR="00AC0D07">
        <w:t xml:space="preserve">to define </w:t>
      </w:r>
      <w:r w:rsidR="0060742A">
        <w:t xml:space="preserve">critical areas under potential </w:t>
      </w:r>
      <w:r w:rsidR="00AC0D07">
        <w:t xml:space="preserve">environmental </w:t>
      </w:r>
      <w:r w:rsidR="0060742A">
        <w:t xml:space="preserve">stress in forest areas. </w:t>
      </w:r>
    </w:p>
    <w:p w:rsidR="00750901" w:rsidRDefault="00800386">
      <w:pPr>
        <w:spacing w:after="200" w:line="276" w:lineRule="auto"/>
        <w:ind w:right="-333"/>
        <w:jc w:val="both"/>
      </w:pPr>
      <w:r>
        <w:t xml:space="preserve">5.- Examination of specific environmental issues by using participatory rural appraisal methods and case studies agreed </w:t>
      </w:r>
      <w:r w:rsidR="00A60BD6">
        <w:t xml:space="preserve">with </w:t>
      </w:r>
      <w:r w:rsidR="00786184">
        <w:t xml:space="preserve">the Forestry </w:t>
      </w:r>
      <w:r w:rsidR="00EE1C53">
        <w:t>Commission</w:t>
      </w:r>
      <w:r w:rsidR="00A60BD6">
        <w:t xml:space="preserve"> </w:t>
      </w:r>
      <w:r w:rsidR="001D7D3D">
        <w:t xml:space="preserve">in </w:t>
      </w:r>
      <w:r w:rsidR="00E63C62">
        <w:t xml:space="preserve">selected </w:t>
      </w:r>
      <w:r w:rsidR="00795337">
        <w:t>areas of interest</w:t>
      </w:r>
      <w:r w:rsidR="001D7D3D">
        <w:t>.</w:t>
      </w:r>
    </w:p>
    <w:p w:rsidR="00750901" w:rsidRDefault="001D7D3D">
      <w:pPr>
        <w:spacing w:after="200" w:line="276" w:lineRule="auto"/>
        <w:ind w:right="-333"/>
        <w:jc w:val="both"/>
      </w:pPr>
      <w:r>
        <w:t xml:space="preserve">Likewise, </w:t>
      </w:r>
      <w:r w:rsidR="00B04B72">
        <w:t xml:space="preserve">the following steps will be followed to </w:t>
      </w:r>
      <w:r w:rsidR="00800386">
        <w:t xml:space="preserve">scope </w:t>
      </w:r>
      <w:r w:rsidR="00B04B72">
        <w:t>key social issues:</w:t>
      </w:r>
    </w:p>
    <w:p w:rsidR="00750901" w:rsidRDefault="00B04B72">
      <w:pPr>
        <w:spacing w:after="200" w:line="276" w:lineRule="auto"/>
        <w:ind w:right="-333"/>
        <w:jc w:val="both"/>
      </w:pPr>
      <w:r>
        <w:t>1.- Construction of a base map (first layer) of communities in and around forest areas, including key demographic indicators such as number of inhabitants, gender and age structure, and ethnicity of the populations.</w:t>
      </w:r>
    </w:p>
    <w:p w:rsidR="00750901" w:rsidRDefault="00B04B72">
      <w:pPr>
        <w:spacing w:after="200" w:line="276" w:lineRule="auto"/>
        <w:ind w:right="-333"/>
        <w:jc w:val="both"/>
      </w:pPr>
      <w:r>
        <w:t>2.- Poverty and vulnerability map including income levels of the population</w:t>
      </w:r>
      <w:r w:rsidR="00A839BA">
        <w:t xml:space="preserve"> (second layer)</w:t>
      </w:r>
      <w:r>
        <w:t>.</w:t>
      </w:r>
    </w:p>
    <w:p w:rsidR="00750901" w:rsidRDefault="00B04B72">
      <w:pPr>
        <w:tabs>
          <w:tab w:val="left" w:pos="4320"/>
        </w:tabs>
        <w:spacing w:after="200" w:line="276" w:lineRule="auto"/>
        <w:ind w:right="-333"/>
        <w:jc w:val="both"/>
      </w:pPr>
      <w:r>
        <w:t>3.- Mapping of access and land tenure rights</w:t>
      </w:r>
      <w:r w:rsidR="009B3FC8">
        <w:t xml:space="preserve"> that shall </w:t>
      </w:r>
      <w:r>
        <w:t xml:space="preserve">include </w:t>
      </w:r>
      <w:r w:rsidR="00A839BA">
        <w:t>concessions or other existing titling rights for natural resources or extractive industries such as mining (third layer).</w:t>
      </w:r>
    </w:p>
    <w:p w:rsidR="00800386" w:rsidRDefault="00A839BA">
      <w:pPr>
        <w:tabs>
          <w:tab w:val="left" w:pos="4320"/>
        </w:tabs>
        <w:spacing w:after="200" w:line="276" w:lineRule="auto"/>
        <w:ind w:right="-333"/>
        <w:jc w:val="both"/>
      </w:pPr>
      <w:r w:rsidRPr="00A839BA">
        <w:lastRenderedPageBreak/>
        <w:t xml:space="preserve">4.- </w:t>
      </w:r>
      <w:r w:rsidR="00D272AA">
        <w:t xml:space="preserve">Superimposition </w:t>
      </w:r>
      <w:r w:rsidRPr="00A839BA">
        <w:t>of these three layers of information</w:t>
      </w:r>
      <w:r w:rsidR="00F27233">
        <w:t>,</w:t>
      </w:r>
      <w:r w:rsidR="00F27233" w:rsidRPr="00127863">
        <w:t xml:space="preserve"> </w:t>
      </w:r>
      <w:r w:rsidR="00F27233">
        <w:t>together with layers dealing with environmental issues,</w:t>
      </w:r>
      <w:r w:rsidRPr="00A839BA">
        <w:t xml:space="preserve"> to define critical </w:t>
      </w:r>
      <w:r>
        <w:t xml:space="preserve">social issues in </w:t>
      </w:r>
      <w:r w:rsidR="009B3FC8">
        <w:t xml:space="preserve">forest areas. </w:t>
      </w:r>
    </w:p>
    <w:p w:rsidR="00750901" w:rsidRDefault="00800386">
      <w:pPr>
        <w:tabs>
          <w:tab w:val="left" w:pos="4320"/>
        </w:tabs>
        <w:spacing w:after="200" w:line="276" w:lineRule="auto"/>
        <w:ind w:right="-333"/>
        <w:jc w:val="both"/>
      </w:pPr>
      <w:r>
        <w:t xml:space="preserve">5.- </w:t>
      </w:r>
      <w:r w:rsidR="00C1155E">
        <w:t xml:space="preserve">Examination of specific social issues by using rural appraisal methods and </w:t>
      </w:r>
      <w:r w:rsidR="00A839BA" w:rsidRPr="00A839BA">
        <w:t xml:space="preserve">case studies to document </w:t>
      </w:r>
      <w:r w:rsidR="009B3FC8">
        <w:t xml:space="preserve">critical </w:t>
      </w:r>
      <w:r w:rsidR="00A839BA" w:rsidRPr="00A839BA">
        <w:t>interaction</w:t>
      </w:r>
      <w:r w:rsidR="00A839BA">
        <w:t>s</w:t>
      </w:r>
      <w:r w:rsidR="00A839BA" w:rsidRPr="00A839BA">
        <w:t xml:space="preserve"> and synergy of </w:t>
      </w:r>
      <w:r w:rsidR="009B3FC8">
        <w:t xml:space="preserve">these </w:t>
      </w:r>
      <w:r w:rsidR="00A839BA" w:rsidRPr="00A839BA">
        <w:t xml:space="preserve">different </w:t>
      </w:r>
      <w:r w:rsidR="00A839BA">
        <w:t xml:space="preserve">social </w:t>
      </w:r>
      <w:r w:rsidR="00A839BA" w:rsidRPr="00A839BA">
        <w:t xml:space="preserve">factors affecting </w:t>
      </w:r>
      <w:r w:rsidR="009B3FC8">
        <w:t xml:space="preserve">sustainable </w:t>
      </w:r>
      <w:r w:rsidR="00A839BA" w:rsidRPr="00A839BA">
        <w:t>forest</w:t>
      </w:r>
      <w:r w:rsidR="009B3FC8">
        <w:t xml:space="preserve"> management</w:t>
      </w:r>
      <w:r w:rsidR="00A839BA" w:rsidRPr="00A839BA">
        <w:t xml:space="preserve"> </w:t>
      </w:r>
      <w:r w:rsidR="00A839BA">
        <w:t>in Ghana</w:t>
      </w:r>
      <w:r w:rsidR="00A839BA" w:rsidRPr="00A839BA">
        <w:t>.</w:t>
      </w:r>
    </w:p>
    <w:p w:rsidR="00750901" w:rsidRDefault="003C2EC6">
      <w:pPr>
        <w:spacing w:after="200" w:line="276" w:lineRule="auto"/>
        <w:ind w:right="-333"/>
        <w:jc w:val="both"/>
      </w:pPr>
      <w:r>
        <w:t>Building on the evidence and results of these analyses, t</w:t>
      </w:r>
      <w:r w:rsidR="00A839BA">
        <w:t xml:space="preserve">he consultant will produce a </w:t>
      </w:r>
      <w:r w:rsidR="00C1155E">
        <w:t xml:space="preserve">scoping </w:t>
      </w:r>
      <w:r w:rsidR="00A839BA">
        <w:t xml:space="preserve">report of key environmental and social issues </w:t>
      </w:r>
      <w:r w:rsidR="00380B21">
        <w:t>in</w:t>
      </w:r>
      <w:r w:rsidR="00A839BA">
        <w:t xml:space="preserve"> forests areas </w:t>
      </w:r>
      <w:r>
        <w:t>in Ghana</w:t>
      </w:r>
      <w:r w:rsidR="00A839BA">
        <w:t>. The report will</w:t>
      </w:r>
      <w:r w:rsidR="00066F3D">
        <w:t>:</w:t>
      </w:r>
    </w:p>
    <w:p w:rsidR="00750901" w:rsidRDefault="00380B21">
      <w:pPr>
        <w:pStyle w:val="ListParagraph"/>
        <w:numPr>
          <w:ilvl w:val="0"/>
          <w:numId w:val="71"/>
        </w:numPr>
        <w:spacing w:after="200" w:line="276" w:lineRule="auto"/>
        <w:ind w:right="-333"/>
        <w:jc w:val="both"/>
      </w:pPr>
      <w:r>
        <w:t>identi</w:t>
      </w:r>
      <w:r w:rsidR="00E0107E">
        <w:t>fy environmental and social hot</w:t>
      </w:r>
      <w:r>
        <w:t>spots and discuss their main characteristics;</w:t>
      </w:r>
    </w:p>
    <w:p w:rsidR="00750901" w:rsidRDefault="00380B21">
      <w:pPr>
        <w:pStyle w:val="ListParagraph"/>
        <w:numPr>
          <w:ilvl w:val="0"/>
          <w:numId w:val="71"/>
        </w:numPr>
        <w:spacing w:after="200" w:line="276" w:lineRule="auto"/>
        <w:ind w:right="-333"/>
        <w:jc w:val="both"/>
      </w:pPr>
      <w:r>
        <w:t>d</w:t>
      </w:r>
      <w:r w:rsidR="00530E2B">
        <w:t xml:space="preserve">iscuss </w:t>
      </w:r>
      <w:r w:rsidR="00B96359">
        <w:t xml:space="preserve">in a sample of key forest areas </w:t>
      </w:r>
      <w:r w:rsidR="00A839BA">
        <w:t>land use trade-offs</w:t>
      </w:r>
      <w:r>
        <w:t xml:space="preserve"> by analyzing the opportunity </w:t>
      </w:r>
      <w:r w:rsidR="00434755">
        <w:t xml:space="preserve">cost </w:t>
      </w:r>
      <w:r>
        <w:t>of conserving forests versus developing these areas into alternative land uses such as mining or agriculture;</w:t>
      </w:r>
      <w:r w:rsidR="00A839BA">
        <w:t xml:space="preserve"> and</w:t>
      </w:r>
      <w:r>
        <w:t>,</w:t>
      </w:r>
    </w:p>
    <w:p w:rsidR="00750901" w:rsidRPr="00786184" w:rsidRDefault="0096551A">
      <w:pPr>
        <w:pStyle w:val="ListParagraph"/>
        <w:numPr>
          <w:ilvl w:val="0"/>
          <w:numId w:val="71"/>
        </w:numPr>
        <w:spacing w:after="200" w:line="276" w:lineRule="auto"/>
        <w:ind w:right="-333"/>
        <w:jc w:val="both"/>
      </w:pPr>
      <w:r w:rsidRPr="0096551A">
        <w:t xml:space="preserve">analyze critical institutional, legal, regulatory, policy and capacity gaps underlying the key environmental and social issues identified. </w:t>
      </w:r>
    </w:p>
    <w:p w:rsidR="00750901" w:rsidRDefault="00530E2B">
      <w:pPr>
        <w:spacing w:after="200" w:line="276" w:lineRule="auto"/>
        <w:ind w:right="-333"/>
        <w:jc w:val="both"/>
      </w:pPr>
      <w:r>
        <w:t>Th</w:t>
      </w:r>
      <w:r w:rsidR="00B603D4">
        <w:t>e</w:t>
      </w:r>
      <w:r>
        <w:t xml:space="preserve"> </w:t>
      </w:r>
      <w:r w:rsidR="00C1155E">
        <w:t xml:space="preserve">scoping </w:t>
      </w:r>
      <w:r>
        <w:t xml:space="preserve">report will </w:t>
      </w:r>
      <w:r w:rsidR="00B603D4">
        <w:t xml:space="preserve">inform </w:t>
      </w:r>
      <w:r>
        <w:t xml:space="preserve">the public consultations to be undertaken with </w:t>
      </w:r>
      <w:r w:rsidR="00B603D4">
        <w:t>key</w:t>
      </w:r>
      <w:r>
        <w:t xml:space="preserve"> stakeholders for the selection of environmental and social priorities</w:t>
      </w:r>
      <w:r w:rsidRPr="00BA188E">
        <w:t>.</w:t>
      </w:r>
    </w:p>
    <w:p w:rsidR="00750901" w:rsidRDefault="00101053">
      <w:pPr>
        <w:pStyle w:val="ListParagraph"/>
        <w:numPr>
          <w:ilvl w:val="2"/>
          <w:numId w:val="59"/>
        </w:numPr>
        <w:spacing w:after="120" w:line="276" w:lineRule="auto"/>
        <w:ind w:right="-331"/>
        <w:contextualSpacing w:val="0"/>
        <w:jc w:val="both"/>
        <w:rPr>
          <w:b/>
        </w:rPr>
      </w:pPr>
      <w:r w:rsidRPr="00101053">
        <w:rPr>
          <w:b/>
        </w:rPr>
        <w:t xml:space="preserve">Selection of environmental and social priorities </w:t>
      </w:r>
    </w:p>
    <w:p w:rsidR="00750901" w:rsidRDefault="00997B16">
      <w:pPr>
        <w:spacing w:after="200" w:line="276" w:lineRule="auto"/>
        <w:ind w:right="-333"/>
        <w:jc w:val="both"/>
      </w:pPr>
      <w:r>
        <w:t>In line with the consultation and participation plan of the SESA, t</w:t>
      </w:r>
      <w:r w:rsidR="006D29B8" w:rsidRPr="007A39E9">
        <w:t xml:space="preserve">he key environmental and social issues </w:t>
      </w:r>
      <w:r w:rsidR="00C1155E">
        <w:t xml:space="preserve">resulting </w:t>
      </w:r>
      <w:r w:rsidR="006D29B8" w:rsidRPr="007A39E9">
        <w:t>from the mapping and analytical work</w:t>
      </w:r>
      <w:r w:rsidR="006D29B8">
        <w:t xml:space="preserve"> shall be reviewed and prioritized by </w:t>
      </w:r>
      <w:r>
        <w:t xml:space="preserve">a representative sample of </w:t>
      </w:r>
      <w:r w:rsidR="006D29B8">
        <w:t xml:space="preserve">communities in the critical areas identified from the mapping exercise. </w:t>
      </w:r>
      <w:r w:rsidR="00706F5C">
        <w:t xml:space="preserve">Stakeholder engagement at this level shall be in the most widely spoken national dialect of the area. </w:t>
      </w:r>
      <w:r w:rsidR="006D29B8">
        <w:t>The priori</w:t>
      </w:r>
      <w:r>
        <w:t>ti</w:t>
      </w:r>
      <w:r w:rsidR="006D29B8">
        <w:t>zation will then be validated at the regional level by community representatives, and the District Forest Forums</w:t>
      </w:r>
      <w:r>
        <w:t xml:space="preserve">. </w:t>
      </w:r>
    </w:p>
    <w:p w:rsidR="00750901" w:rsidRDefault="00997B16">
      <w:pPr>
        <w:spacing w:after="200" w:line="276" w:lineRule="auto"/>
        <w:ind w:right="-333"/>
        <w:jc w:val="both"/>
      </w:pPr>
      <w:r>
        <w:t xml:space="preserve">In parallel, institutional stakeholders </w:t>
      </w:r>
      <w:r w:rsidR="00497CDD">
        <w:t xml:space="preserve">identified in the SESA </w:t>
      </w:r>
      <w:r w:rsidR="00C1155E">
        <w:t xml:space="preserve">work </w:t>
      </w:r>
      <w:r w:rsidR="00497CDD">
        <w:t xml:space="preserve">plan </w:t>
      </w:r>
      <w:r w:rsidR="005F0A72" w:rsidRPr="005D6B6B">
        <w:t>such as</w:t>
      </w:r>
      <w:r w:rsidR="00101053" w:rsidRPr="00101053">
        <w:t xml:space="preserve"> research and academia, Environmental Protection Agency, Lands Commission, Forestry Commission, Minerals Commission, National Coalition on Mining and other Civil Society Coalitions on environment and natural resources management and the private sector</w:t>
      </w:r>
      <w:r w:rsidR="00992514">
        <w:t xml:space="preserve"> will review and prioritize environmental and social issues through consultations that are culturally sensitive like focus groups. </w:t>
      </w:r>
      <w:r w:rsidR="005F540E">
        <w:t xml:space="preserve">A national workshop will be convened to </w:t>
      </w:r>
      <w:r w:rsidR="003E4260">
        <w:t>discuss the results of the prioritization undertaken by the institutional stakeholders to reach a common set of priorities agreed by all institutional stakeholders at the national level</w:t>
      </w:r>
      <w:r w:rsidR="006D29B8">
        <w:t xml:space="preserve"> (including the National REDD Technical Working Group and the National Forest Forum). </w:t>
      </w:r>
      <w:r w:rsidR="00C1155E">
        <w:t>T</w:t>
      </w:r>
      <w:r w:rsidR="003E4260">
        <w:t xml:space="preserve">he </w:t>
      </w:r>
      <w:r w:rsidR="008E1C21">
        <w:t xml:space="preserve">selected </w:t>
      </w:r>
      <w:r w:rsidR="003E4260">
        <w:t>environmental and social priorities of institutional stakeholders and those of the forest communities will be reported</w:t>
      </w:r>
      <w:r w:rsidR="00090041">
        <w:t xml:space="preserve"> either</w:t>
      </w:r>
      <w:r w:rsidR="003E4260">
        <w:t xml:space="preserve"> separately</w:t>
      </w:r>
      <w:r w:rsidR="008E1C21">
        <w:t>,</w:t>
      </w:r>
      <w:r w:rsidR="003E4260">
        <w:t xml:space="preserve"> </w:t>
      </w:r>
      <w:r w:rsidR="00FA44FF">
        <w:t>if</w:t>
      </w:r>
      <w:r w:rsidR="003E4260">
        <w:t xml:space="preserve"> they are different from each other</w:t>
      </w:r>
      <w:r w:rsidR="0018586F">
        <w:t>,</w:t>
      </w:r>
      <w:r w:rsidR="003E4260">
        <w:t xml:space="preserve"> or integrated </w:t>
      </w:r>
      <w:r w:rsidR="00FC19BD">
        <w:t xml:space="preserve">into one set of priorities </w:t>
      </w:r>
      <w:r w:rsidR="00090041">
        <w:t>for the</w:t>
      </w:r>
      <w:r w:rsidR="00FC19BD">
        <w:t xml:space="preserve"> communities and institutional stakeholders</w:t>
      </w:r>
      <w:r w:rsidR="008E1C21">
        <w:t>,</w:t>
      </w:r>
      <w:r w:rsidR="00FC19BD">
        <w:t xml:space="preserve"> </w:t>
      </w:r>
      <w:r w:rsidR="00FA44FF">
        <w:t>if</w:t>
      </w:r>
      <w:r w:rsidR="00FC19BD">
        <w:t xml:space="preserve"> </w:t>
      </w:r>
      <w:r w:rsidR="00561866">
        <w:t xml:space="preserve">they are </w:t>
      </w:r>
      <w:r w:rsidR="00FC19BD">
        <w:t>similar or identical</w:t>
      </w:r>
      <w:r w:rsidR="003E4260">
        <w:t>.</w:t>
      </w:r>
    </w:p>
    <w:p w:rsidR="00750901" w:rsidRDefault="00090041">
      <w:pPr>
        <w:spacing w:after="200" w:line="276" w:lineRule="auto"/>
        <w:ind w:right="-333"/>
        <w:jc w:val="both"/>
      </w:pPr>
      <w:r>
        <w:t xml:space="preserve">The Consultant </w:t>
      </w:r>
      <w:r w:rsidR="00593D49">
        <w:t xml:space="preserve">will prepare a report on the selection of priorities by the SESA stakeholders. </w:t>
      </w:r>
      <w:r w:rsidR="00520296">
        <w:t xml:space="preserve">The report shall then be publicly disclosed </w:t>
      </w:r>
      <w:r w:rsidR="004A0135">
        <w:t xml:space="preserve">via </w:t>
      </w:r>
      <w:r w:rsidR="00520296">
        <w:t>the websites of the Forestry Commission and the EPA.</w:t>
      </w:r>
      <w:r w:rsidR="00AA6347">
        <w:t xml:space="preserve"> It </w:t>
      </w:r>
      <w:r w:rsidR="00AA6347">
        <w:lastRenderedPageBreak/>
        <w:t>should also be published at the Lingo website and the infoshops of Forestry Commission as well as in the Talking Drum</w:t>
      </w:r>
      <w:r w:rsidR="00484356">
        <w:t xml:space="preserve"> (</w:t>
      </w:r>
      <w:r w:rsidR="00484356" w:rsidRPr="00FD2571">
        <w:t>www.</w:t>
      </w:r>
      <w:r w:rsidR="00484356" w:rsidRPr="00062AC6">
        <w:t>the</w:t>
      </w:r>
      <w:r w:rsidR="00484356" w:rsidRPr="00062AC6">
        <w:rPr>
          <w:bCs/>
        </w:rPr>
        <w:t>talkingdrum</w:t>
      </w:r>
      <w:r w:rsidR="00484356" w:rsidRPr="00062AC6">
        <w:t>.com</w:t>
      </w:r>
      <w:r w:rsidR="00484356">
        <w:t>)</w:t>
      </w:r>
      <w:r w:rsidR="00AA6347">
        <w:t>.</w:t>
      </w:r>
    </w:p>
    <w:p w:rsidR="00750901" w:rsidRDefault="00101053">
      <w:pPr>
        <w:pStyle w:val="ListParagraph"/>
        <w:numPr>
          <w:ilvl w:val="1"/>
          <w:numId w:val="59"/>
        </w:numPr>
        <w:spacing w:after="200" w:line="276" w:lineRule="auto"/>
        <w:ind w:right="-333"/>
        <w:jc w:val="both"/>
        <w:rPr>
          <w:b/>
        </w:rPr>
      </w:pPr>
      <w:r w:rsidRPr="00101053">
        <w:rPr>
          <w:b/>
        </w:rPr>
        <w:t xml:space="preserve">Assessment </w:t>
      </w:r>
    </w:p>
    <w:p w:rsidR="00750901" w:rsidRDefault="00E77F1A">
      <w:pPr>
        <w:spacing w:after="200" w:line="276" w:lineRule="auto"/>
        <w:ind w:right="-333"/>
        <w:jc w:val="both"/>
      </w:pPr>
      <w:r>
        <w:t>The C</w:t>
      </w:r>
      <w:r w:rsidR="00101053" w:rsidRPr="00101053">
        <w:t xml:space="preserve">onsultant </w:t>
      </w:r>
      <w:r>
        <w:t>will assess environmental and social sustainability of the REDD+ strategy options as follow</w:t>
      </w:r>
      <w:r w:rsidR="00953387">
        <w:t>s</w:t>
      </w:r>
      <w:r>
        <w:t>:</w:t>
      </w:r>
    </w:p>
    <w:p w:rsidR="00750901" w:rsidRDefault="00C8711A">
      <w:pPr>
        <w:pStyle w:val="ListParagraph"/>
        <w:numPr>
          <w:ilvl w:val="2"/>
          <w:numId w:val="59"/>
        </w:numPr>
        <w:spacing w:after="200" w:line="276" w:lineRule="auto"/>
        <w:ind w:right="-333"/>
        <w:jc w:val="both"/>
        <w:rPr>
          <w:b/>
        </w:rPr>
      </w:pPr>
      <w:r>
        <w:rPr>
          <w:b/>
        </w:rPr>
        <w:t xml:space="preserve">Assessing </w:t>
      </w:r>
      <w:r w:rsidR="00115494">
        <w:rPr>
          <w:b/>
        </w:rPr>
        <w:t xml:space="preserve">candidate </w:t>
      </w:r>
      <w:r w:rsidR="00953387">
        <w:rPr>
          <w:b/>
        </w:rPr>
        <w:t>REDD+ strategy o</w:t>
      </w:r>
      <w:r>
        <w:rPr>
          <w:b/>
        </w:rPr>
        <w:t>ptions</w:t>
      </w:r>
      <w:r w:rsidR="00953387">
        <w:rPr>
          <w:b/>
        </w:rPr>
        <w:t xml:space="preserve"> vis-à-vis </w:t>
      </w:r>
      <w:r w:rsidR="005D45AB">
        <w:rPr>
          <w:b/>
        </w:rPr>
        <w:t>previously defined</w:t>
      </w:r>
      <w:r w:rsidR="00953387">
        <w:rPr>
          <w:b/>
        </w:rPr>
        <w:t xml:space="preserve"> priorities</w:t>
      </w:r>
      <w:r>
        <w:rPr>
          <w:b/>
        </w:rPr>
        <w:t xml:space="preserve"> </w:t>
      </w:r>
    </w:p>
    <w:p w:rsidR="00750901" w:rsidRDefault="00115494">
      <w:pPr>
        <w:spacing w:after="200" w:line="276" w:lineRule="auto"/>
        <w:ind w:right="-333"/>
        <w:jc w:val="both"/>
      </w:pPr>
      <w:r>
        <w:t xml:space="preserve">The Consultant will </w:t>
      </w:r>
      <w:r w:rsidR="00197DA4">
        <w:t>assess</w:t>
      </w:r>
      <w:r w:rsidR="007D7A4C">
        <w:t xml:space="preserve"> the extent to which candidate REDD+ Strategy options address </w:t>
      </w:r>
      <w:r w:rsidR="005D45AB">
        <w:t xml:space="preserve">the previously defined </w:t>
      </w:r>
      <w:r w:rsidR="007D7A4C">
        <w:t>environmental and social priorities</w:t>
      </w:r>
      <w:r w:rsidR="00C52474">
        <w:t xml:space="preserve"> and take into account in their formulation the opportunity cost of forests</w:t>
      </w:r>
      <w:r w:rsidR="007D7A4C">
        <w:t>. When the REDD+ strategy options address partially or do not address some of the priorities</w:t>
      </w:r>
      <w:r w:rsidR="00C52474">
        <w:t xml:space="preserve"> and/or are unresponsive to forest opportunity costs</w:t>
      </w:r>
      <w:r w:rsidR="007D7A4C">
        <w:t xml:space="preserve">, the gaps will be identified and specific recommendations will be made to refine the REDD+ strategy options to close these gaps. In this way, priority environmental and social considerations </w:t>
      </w:r>
      <w:r w:rsidR="00C52474">
        <w:t xml:space="preserve">and to some extent forest valuation will be </w:t>
      </w:r>
      <w:r w:rsidR="007D7A4C">
        <w:t>integrated into the preparation of the REDD+ strategy. The expected output is re</w:t>
      </w:r>
      <w:r w:rsidR="00C409AC">
        <w:t>vised</w:t>
      </w:r>
      <w:r w:rsidR="007D7A4C">
        <w:t xml:space="preserve"> REDD+ strategy options.</w:t>
      </w:r>
    </w:p>
    <w:p w:rsidR="00750901" w:rsidRDefault="00C409AC">
      <w:pPr>
        <w:spacing w:after="200" w:line="276" w:lineRule="auto"/>
        <w:ind w:right="-331"/>
        <w:jc w:val="both"/>
      </w:pPr>
      <w:r>
        <w:t>The revised REDD+ strategy options shall be assessed against the environmental and social impacts that they may induce or create</w:t>
      </w:r>
      <w:r w:rsidR="00D77729">
        <w:t xml:space="preserve"> during their implementation</w:t>
      </w:r>
      <w:r>
        <w:t xml:space="preserve">. These environmental and social impacts will be </w:t>
      </w:r>
      <w:r w:rsidR="00D44E3F">
        <w:t xml:space="preserve">identified </w:t>
      </w:r>
      <w:r w:rsidR="00D77729">
        <w:t>vis-a-vis</w:t>
      </w:r>
      <w:r w:rsidR="00D44E3F">
        <w:t xml:space="preserve"> the World Bank environmental and social safeguard policies. </w:t>
      </w:r>
      <w:r>
        <w:t>For example, one of the REDD+ strategy options may induce involuntary resettlem</w:t>
      </w:r>
      <w:r w:rsidR="00D44E3F">
        <w:t>en</w:t>
      </w:r>
      <w:r>
        <w:t>t</w:t>
      </w:r>
      <w:r w:rsidR="00D44E3F">
        <w:t xml:space="preserve"> of forest communities and farmers located in a specific region of Ghana which will trigger World Bank O.P. 4.12. </w:t>
      </w:r>
      <w:r w:rsidR="00D77729">
        <w:t>In such a situation, t</w:t>
      </w:r>
      <w:r w:rsidR="00D44E3F">
        <w:t xml:space="preserve">he Consultant </w:t>
      </w:r>
      <w:r w:rsidR="00D77729">
        <w:t>shall</w:t>
      </w:r>
      <w:r w:rsidR="00D44E3F">
        <w:t xml:space="preserve"> </w:t>
      </w:r>
      <w:r w:rsidR="00D77729">
        <w:t>provide recommendations to r</w:t>
      </w:r>
      <w:r w:rsidR="00D44E3F">
        <w:t xml:space="preserve">efine </w:t>
      </w:r>
      <w:r w:rsidR="00D77729">
        <w:t xml:space="preserve">further </w:t>
      </w:r>
      <w:r w:rsidR="00D44E3F">
        <w:t>the REDD+</w:t>
      </w:r>
      <w:r w:rsidR="000768B5">
        <w:t xml:space="preserve"> strategy options </w:t>
      </w:r>
      <w:r w:rsidR="00D77729">
        <w:t xml:space="preserve">in order </w:t>
      </w:r>
      <w:r w:rsidR="000768B5">
        <w:t>to eliminate or minimize this risk</w:t>
      </w:r>
      <w:r w:rsidR="00D77729">
        <w:t xml:space="preserve">. </w:t>
      </w:r>
      <w:r w:rsidR="008525D8">
        <w:t>If some residual risk still remains, it will be dealt with in the Environmental and Social Management Framework (ESMF) prepared to manage risks during implementation of the REDD+ strategy</w:t>
      </w:r>
      <w:r w:rsidR="00D77729">
        <w:t>.</w:t>
      </w:r>
    </w:p>
    <w:p w:rsidR="00750901" w:rsidRDefault="00101053">
      <w:pPr>
        <w:pStyle w:val="ListParagraph"/>
        <w:numPr>
          <w:ilvl w:val="2"/>
          <w:numId w:val="59"/>
        </w:numPr>
        <w:spacing w:after="120" w:line="276" w:lineRule="auto"/>
        <w:ind w:right="-331"/>
        <w:contextualSpacing w:val="0"/>
        <w:jc w:val="both"/>
        <w:rPr>
          <w:b/>
        </w:rPr>
      </w:pPr>
      <w:r w:rsidRPr="00101053">
        <w:rPr>
          <w:b/>
        </w:rPr>
        <w:t xml:space="preserve">Validation of the assessment        </w:t>
      </w:r>
    </w:p>
    <w:p w:rsidR="00750901" w:rsidRDefault="0021113C">
      <w:pPr>
        <w:pStyle w:val="ListParagraph"/>
        <w:spacing w:after="200" w:line="276" w:lineRule="auto"/>
        <w:ind w:left="0" w:right="-331"/>
        <w:contextualSpacing w:val="0"/>
        <w:jc w:val="both"/>
      </w:pPr>
      <w:r>
        <w:t xml:space="preserve">In coordination with the team in charge of preparing the REDD+ strategy, the </w:t>
      </w:r>
      <w:r w:rsidR="002C0FF5">
        <w:t xml:space="preserve">refined </w:t>
      </w:r>
      <w:r w:rsidR="00915630">
        <w:t xml:space="preserve">REDD+ </w:t>
      </w:r>
      <w:r w:rsidR="002C0FF5">
        <w:t>strategy options shall then be subjected to a national validation workshop</w:t>
      </w:r>
      <w:r>
        <w:t>.</w:t>
      </w:r>
      <w:r w:rsidR="002C0FF5">
        <w:t xml:space="preserve"> </w:t>
      </w:r>
      <w:r>
        <w:t>P</w:t>
      </w:r>
      <w:r w:rsidR="002C0FF5">
        <w:t xml:space="preserve">articipants from all key stakeholders </w:t>
      </w:r>
      <w:r>
        <w:t xml:space="preserve">should be invited to this workshop including </w:t>
      </w:r>
      <w:r w:rsidR="002C0FF5">
        <w:t>those whose work/livelihoods are likely to impact on or be impacted upon by the strategy options. Care should be taken to include women, migrant farmers and small scale practitioners and any otherwise marginali</w:t>
      </w:r>
      <w:r w:rsidR="00422A70">
        <w:t>z</w:t>
      </w:r>
      <w:r w:rsidR="002C0FF5">
        <w:t>ed groups</w:t>
      </w:r>
      <w:r w:rsidR="00F85D7C">
        <w:t xml:space="preserve"> in line with the consultation and participation plan of the SESA</w:t>
      </w:r>
      <w:r w:rsidR="002C0FF5">
        <w:t>. Th</w:t>
      </w:r>
      <w:r w:rsidR="00F85D7C">
        <w:t>e</w:t>
      </w:r>
      <w:r w:rsidR="002C0FF5">
        <w:t xml:space="preserve"> validation workshop should be organi</w:t>
      </w:r>
      <w:r w:rsidR="00422A70">
        <w:t>z</w:t>
      </w:r>
      <w:r w:rsidR="002C0FF5">
        <w:t xml:space="preserve">ed in such a way that there will be parallel validation by the different key stakeholders, before a plenary session. This will </w:t>
      </w:r>
      <w:r w:rsidR="00422A70">
        <w:t>empower “</w:t>
      </w:r>
      <w:r w:rsidR="002C0FF5">
        <w:t>weaker</w:t>
      </w:r>
      <w:r w:rsidR="00422A70">
        <w:t>”</w:t>
      </w:r>
      <w:r w:rsidR="002C0FF5">
        <w:t xml:space="preserve"> stakeholders </w:t>
      </w:r>
      <w:r w:rsidR="00422A70">
        <w:t>by ensuring they have a chance to freely express and promote their views</w:t>
      </w:r>
      <w:r w:rsidR="002C0FF5">
        <w:t>. Where necessary, a local dialect should be used in the stakeholder specific session, to allow for proper articulation of concerns by all key stakeholders.</w:t>
      </w:r>
    </w:p>
    <w:p w:rsidR="00750901" w:rsidRDefault="00101053">
      <w:pPr>
        <w:pStyle w:val="ListParagraph"/>
        <w:numPr>
          <w:ilvl w:val="1"/>
          <w:numId w:val="59"/>
        </w:numPr>
        <w:spacing w:after="200" w:line="276" w:lineRule="auto"/>
        <w:ind w:right="-331"/>
        <w:contextualSpacing w:val="0"/>
        <w:jc w:val="both"/>
        <w:rPr>
          <w:b/>
        </w:rPr>
      </w:pPr>
      <w:r w:rsidRPr="00101053">
        <w:rPr>
          <w:b/>
        </w:rPr>
        <w:t>Environmental and Social Management Framework (ESMF)</w:t>
      </w:r>
    </w:p>
    <w:p w:rsidR="00750901" w:rsidRDefault="00D52E83">
      <w:pPr>
        <w:pStyle w:val="ListParagraph"/>
        <w:spacing w:after="200" w:line="276" w:lineRule="auto"/>
        <w:ind w:left="0" w:right="-331"/>
        <w:contextualSpacing w:val="0"/>
        <w:jc w:val="both"/>
      </w:pPr>
      <w:r w:rsidRPr="00C250F1">
        <w:lastRenderedPageBreak/>
        <w:t xml:space="preserve">The </w:t>
      </w:r>
      <w:r w:rsidR="00EE11F4" w:rsidRPr="00C250F1">
        <w:t>Consultant will prepare</w:t>
      </w:r>
      <w:r w:rsidRPr="00C250F1">
        <w:t xml:space="preserve"> an initial draft ESMF suitable for disclosure and public consultations </w:t>
      </w:r>
      <w:r w:rsidR="00EE11F4" w:rsidRPr="00C250F1">
        <w:t>that w</w:t>
      </w:r>
      <w:r w:rsidRPr="00C250F1">
        <w:t>ould involve the following minimum tasks:</w:t>
      </w:r>
    </w:p>
    <w:p w:rsidR="00750901" w:rsidRDefault="00D52E83">
      <w:pPr>
        <w:numPr>
          <w:ilvl w:val="0"/>
          <w:numId w:val="68"/>
        </w:numPr>
        <w:tabs>
          <w:tab w:val="clear" w:pos="360"/>
          <w:tab w:val="num" w:pos="720"/>
        </w:tabs>
        <w:spacing w:after="120" w:line="276" w:lineRule="auto"/>
        <w:ind w:left="720"/>
        <w:jc w:val="both"/>
        <w:rPr>
          <w:rFonts w:cs="Arial"/>
          <w:color w:val="1F497D"/>
        </w:rPr>
      </w:pPr>
      <w:r w:rsidRPr="004D5841">
        <w:rPr>
          <w:rFonts w:cs="Arial"/>
        </w:rPr>
        <w:t>A description of the</w:t>
      </w:r>
      <w:r w:rsidRPr="004D5841">
        <w:rPr>
          <w:rFonts w:cs="Arial"/>
          <w:b/>
        </w:rPr>
        <w:t xml:space="preserve"> indicative REDD-plus strategy option(s)</w:t>
      </w:r>
      <w:r w:rsidRPr="004D5841">
        <w:rPr>
          <w:rFonts w:cs="Arial"/>
        </w:rPr>
        <w:t>, its main social and environmental considerations, and the various risks involved in its implementation</w:t>
      </w:r>
      <w:r w:rsidR="00EE11F4">
        <w:rPr>
          <w:rFonts w:cs="Arial"/>
        </w:rPr>
        <w:t>.</w:t>
      </w:r>
      <w:r w:rsidRPr="004D5841">
        <w:rPr>
          <w:rFonts w:cs="Arial"/>
        </w:rPr>
        <w:t xml:space="preserve"> </w:t>
      </w:r>
    </w:p>
    <w:p w:rsidR="00750901" w:rsidRDefault="00D52E83">
      <w:pPr>
        <w:numPr>
          <w:ilvl w:val="0"/>
          <w:numId w:val="68"/>
        </w:numPr>
        <w:tabs>
          <w:tab w:val="clear" w:pos="360"/>
          <w:tab w:val="num" w:pos="720"/>
        </w:tabs>
        <w:spacing w:after="120" w:line="276" w:lineRule="auto"/>
        <w:ind w:left="720"/>
        <w:jc w:val="both"/>
        <w:rPr>
          <w:rFonts w:cs="Arial"/>
        </w:rPr>
      </w:pPr>
      <w:r w:rsidRPr="004D5841">
        <w:rPr>
          <w:rFonts w:cs="Arial"/>
        </w:rPr>
        <w:t xml:space="preserve">An outline of the </w:t>
      </w:r>
      <w:r w:rsidRPr="004D5841">
        <w:rPr>
          <w:rFonts w:cs="Arial"/>
          <w:b/>
        </w:rPr>
        <w:t>legislative, regulatory, and policy regime</w:t>
      </w:r>
      <w:r w:rsidRPr="004D5841">
        <w:rPr>
          <w:rFonts w:cs="Arial"/>
        </w:rPr>
        <w:t xml:space="preserve"> (in relation to forest resources management, land use, </w:t>
      </w:r>
      <w:r w:rsidR="00E42BB1">
        <w:rPr>
          <w:rFonts w:cs="Arial"/>
        </w:rPr>
        <w:t>community customary</w:t>
      </w:r>
      <w:r w:rsidR="00E42BB1" w:rsidRPr="004D5841">
        <w:rPr>
          <w:rFonts w:cs="Arial"/>
        </w:rPr>
        <w:t xml:space="preserve"> </w:t>
      </w:r>
      <w:r w:rsidRPr="004D5841">
        <w:rPr>
          <w:rFonts w:cs="Arial"/>
        </w:rPr>
        <w:t xml:space="preserve">rights, etc.) that the strategy will be implemented within, drawing from the information available from </w:t>
      </w:r>
      <w:r w:rsidR="00536CF3">
        <w:rPr>
          <w:rFonts w:cs="Arial"/>
        </w:rPr>
        <w:t xml:space="preserve">the Draft REDD+ Strategy to be provided by the </w:t>
      </w:r>
      <w:r w:rsidR="00280466">
        <w:rPr>
          <w:rFonts w:cs="Arial"/>
        </w:rPr>
        <w:t xml:space="preserve">REDD+ </w:t>
      </w:r>
      <w:r w:rsidR="00536CF3">
        <w:rPr>
          <w:rFonts w:cs="Arial"/>
        </w:rPr>
        <w:t>Technical Working Group</w:t>
      </w:r>
      <w:r w:rsidR="00720C0D">
        <w:rPr>
          <w:rFonts w:cs="Arial"/>
        </w:rPr>
        <w:t>.</w:t>
      </w:r>
    </w:p>
    <w:p w:rsidR="00750901" w:rsidRDefault="00D52E83">
      <w:pPr>
        <w:numPr>
          <w:ilvl w:val="0"/>
          <w:numId w:val="68"/>
        </w:numPr>
        <w:tabs>
          <w:tab w:val="clear" w:pos="360"/>
          <w:tab w:val="num" w:pos="720"/>
        </w:tabs>
        <w:spacing w:after="120" w:line="276" w:lineRule="auto"/>
        <w:ind w:left="720"/>
        <w:jc w:val="both"/>
        <w:rPr>
          <w:rFonts w:cs="Arial"/>
        </w:rPr>
      </w:pPr>
      <w:r w:rsidRPr="004D5841">
        <w:rPr>
          <w:rFonts w:cs="Arial"/>
        </w:rPr>
        <w:t>A description of the</w:t>
      </w:r>
      <w:r w:rsidRPr="004D5841">
        <w:rPr>
          <w:rFonts w:cs="Arial"/>
          <w:b/>
        </w:rPr>
        <w:t xml:space="preserve"> potential future impacts</w:t>
      </w:r>
      <w:r w:rsidRPr="004D5841">
        <w:rPr>
          <w:rFonts w:cs="Arial"/>
        </w:rPr>
        <w:t xml:space="preserve">, both positive and negative, deriving from the project(s), activity(-ies), or policy(-ies)/regulation(s) associated with the implementation of the </w:t>
      </w:r>
      <w:r w:rsidR="00536CF3">
        <w:rPr>
          <w:rFonts w:cs="Arial"/>
        </w:rPr>
        <w:t>REDD+ strategy options</w:t>
      </w:r>
      <w:r w:rsidRPr="004D5841">
        <w:rPr>
          <w:rFonts w:cs="Arial"/>
        </w:rPr>
        <w:t>, and the geographic/spatia</w:t>
      </w:r>
      <w:r w:rsidR="00720C0D">
        <w:rPr>
          <w:rFonts w:cs="Arial"/>
        </w:rPr>
        <w:t>l distribution of these impacts.</w:t>
      </w:r>
    </w:p>
    <w:p w:rsidR="00750901" w:rsidRDefault="00D52E83">
      <w:pPr>
        <w:numPr>
          <w:ilvl w:val="0"/>
          <w:numId w:val="68"/>
        </w:numPr>
        <w:tabs>
          <w:tab w:val="clear" w:pos="360"/>
          <w:tab w:val="num" w:pos="720"/>
        </w:tabs>
        <w:spacing w:after="120" w:line="276" w:lineRule="auto"/>
        <w:ind w:left="720"/>
        <w:jc w:val="both"/>
        <w:rPr>
          <w:rFonts w:cs="Arial"/>
        </w:rPr>
      </w:pPr>
      <w:r w:rsidRPr="004D5841">
        <w:rPr>
          <w:rFonts w:cs="Arial"/>
        </w:rPr>
        <w:t xml:space="preserve">A description of the </w:t>
      </w:r>
      <w:r w:rsidR="00101053" w:rsidRPr="00101053">
        <w:rPr>
          <w:rFonts w:cs="Arial"/>
        </w:rPr>
        <w:t xml:space="preserve">arrangements for implementing the specific project(s), activity(-ies), or policy(-ies)/regulation(s) </w:t>
      </w:r>
      <w:r w:rsidRPr="004D5841">
        <w:rPr>
          <w:rFonts w:cs="Arial"/>
        </w:rPr>
        <w:t xml:space="preserve">with a focus on the procedures for (i) screening and assessment of site-specific environmental and social impacts; (ii) the preparation of time-bound action plans for </w:t>
      </w:r>
      <w:r w:rsidRPr="00C250F1">
        <w:rPr>
          <w:rFonts w:cs="Arial"/>
        </w:rPr>
        <w:t xml:space="preserve">reducing, mitigating, and/or offsetting any </w:t>
      </w:r>
      <w:r w:rsidRPr="004D5841">
        <w:rPr>
          <w:rFonts w:cs="Arial"/>
        </w:rPr>
        <w:t>adverse impacts; (iii) the monitoring of the implementation of the action plans, including arrangements for public participation in such monitoring.</w:t>
      </w:r>
    </w:p>
    <w:p w:rsidR="00750901" w:rsidRDefault="00D52E83">
      <w:pPr>
        <w:numPr>
          <w:ilvl w:val="0"/>
          <w:numId w:val="68"/>
        </w:numPr>
        <w:tabs>
          <w:tab w:val="clear" w:pos="360"/>
          <w:tab w:val="num" w:pos="720"/>
        </w:tabs>
        <w:spacing w:after="120" w:line="276" w:lineRule="auto"/>
        <w:ind w:left="720"/>
        <w:jc w:val="both"/>
        <w:rPr>
          <w:rFonts w:cs="Arial"/>
        </w:rPr>
      </w:pPr>
      <w:r w:rsidRPr="004D5841">
        <w:rPr>
          <w:rFonts w:cs="Arial"/>
        </w:rPr>
        <w:t xml:space="preserve">An analysis of the particular </w:t>
      </w:r>
      <w:r w:rsidR="00101053" w:rsidRPr="00101053">
        <w:rPr>
          <w:rFonts w:cs="Arial"/>
        </w:rPr>
        <w:t xml:space="preserve">institutional needs within the REDD+ implementation framework for application of the ESMF.  This should include a review of the authority and capability of institutions at different administrative levels (e.g. local, district, provincial/regional, and national), and their capacity to manage and monitor ESMF implementation.  The analysis should draw mainly from </w:t>
      </w:r>
      <w:r w:rsidR="00280466">
        <w:rPr>
          <w:rFonts w:cs="Arial"/>
        </w:rPr>
        <w:t xml:space="preserve">the </w:t>
      </w:r>
      <w:r w:rsidR="000D3E4E">
        <w:rPr>
          <w:rFonts w:cs="Arial"/>
        </w:rPr>
        <w:t xml:space="preserve">REDD+ </w:t>
      </w:r>
      <w:r w:rsidR="00280466">
        <w:rPr>
          <w:rFonts w:cs="Arial"/>
        </w:rPr>
        <w:t>i</w:t>
      </w:r>
      <w:r w:rsidR="000D3E4E">
        <w:rPr>
          <w:rFonts w:cs="Arial"/>
        </w:rPr>
        <w:t>mplementation framework of the Draft REDD+ Strategy</w:t>
      </w:r>
      <w:r w:rsidR="00101053" w:rsidRPr="00101053">
        <w:rPr>
          <w:rFonts w:cs="Arial"/>
        </w:rPr>
        <w:t>.</w:t>
      </w:r>
    </w:p>
    <w:p w:rsidR="00750901" w:rsidRDefault="00101053">
      <w:pPr>
        <w:numPr>
          <w:ilvl w:val="0"/>
          <w:numId w:val="68"/>
        </w:numPr>
        <w:tabs>
          <w:tab w:val="clear" w:pos="360"/>
          <w:tab w:val="num" w:pos="720"/>
        </w:tabs>
        <w:spacing w:after="120" w:line="276" w:lineRule="auto"/>
        <w:ind w:left="720"/>
        <w:jc w:val="both"/>
        <w:rPr>
          <w:rFonts w:cs="Arial"/>
        </w:rPr>
      </w:pPr>
      <w:r w:rsidRPr="00101053">
        <w:rPr>
          <w:rFonts w:cs="Arial"/>
        </w:rPr>
        <w:t>An outline of recommended capacity building actions for the entities responsible for implementing the ESMF.</w:t>
      </w:r>
    </w:p>
    <w:p w:rsidR="00750901" w:rsidRDefault="00101053">
      <w:pPr>
        <w:numPr>
          <w:ilvl w:val="0"/>
          <w:numId w:val="68"/>
        </w:numPr>
        <w:tabs>
          <w:tab w:val="clear" w:pos="360"/>
          <w:tab w:val="num" w:pos="720"/>
        </w:tabs>
        <w:spacing w:after="120" w:line="276" w:lineRule="auto"/>
        <w:ind w:left="720"/>
        <w:jc w:val="both"/>
        <w:rPr>
          <w:rFonts w:cs="Arial"/>
        </w:rPr>
      </w:pPr>
      <w:r w:rsidRPr="00101053">
        <w:rPr>
          <w:rFonts w:cs="Arial"/>
        </w:rPr>
        <w:t>Requirements for technical assistance to public- and private-sector institutions, communities, and service providers to support implementation of the ESMF.</w:t>
      </w:r>
    </w:p>
    <w:p w:rsidR="00750901" w:rsidRDefault="00101053">
      <w:pPr>
        <w:numPr>
          <w:ilvl w:val="0"/>
          <w:numId w:val="68"/>
        </w:numPr>
        <w:tabs>
          <w:tab w:val="clear" w:pos="360"/>
          <w:tab w:val="num" w:pos="720"/>
        </w:tabs>
        <w:spacing w:after="120" w:line="276" w:lineRule="auto"/>
        <w:ind w:left="720"/>
        <w:jc w:val="both"/>
        <w:rPr>
          <w:rFonts w:cs="Arial"/>
        </w:rPr>
      </w:pPr>
      <w:r w:rsidRPr="00101053">
        <w:rPr>
          <w:rFonts w:cs="Arial"/>
        </w:rPr>
        <w:t>An outline of the budget for implementing the ESMF.</w:t>
      </w:r>
    </w:p>
    <w:p w:rsidR="00750901" w:rsidRDefault="00A40BE9">
      <w:pPr>
        <w:spacing w:after="120" w:line="276" w:lineRule="auto"/>
        <w:jc w:val="both"/>
        <w:rPr>
          <w:rFonts w:cs="Arial"/>
        </w:rPr>
      </w:pPr>
      <w:r>
        <w:rPr>
          <w:rFonts w:cs="Arial"/>
        </w:rPr>
        <w:t>The</w:t>
      </w:r>
      <w:r w:rsidR="00D52E83" w:rsidRPr="004D5841">
        <w:rPr>
          <w:rFonts w:cs="Arial"/>
        </w:rPr>
        <w:t xml:space="preserve"> final draft ESMF suitable for inclusion in the R-Package </w:t>
      </w:r>
      <w:r w:rsidR="003B35AB">
        <w:rPr>
          <w:rFonts w:cs="Arial"/>
        </w:rPr>
        <w:t>will</w:t>
      </w:r>
      <w:r w:rsidR="00D52E83" w:rsidRPr="004D5841">
        <w:rPr>
          <w:rFonts w:cs="Arial"/>
        </w:rPr>
        <w:t xml:space="preserve"> contain specific sections addressing the requirements of applicable </w:t>
      </w:r>
      <w:r>
        <w:rPr>
          <w:rFonts w:cs="Arial"/>
        </w:rPr>
        <w:t xml:space="preserve">World Bank </w:t>
      </w:r>
      <w:r w:rsidR="00D52E83" w:rsidRPr="004D5841">
        <w:rPr>
          <w:rFonts w:cs="Arial"/>
        </w:rPr>
        <w:t>safeguard policies, including as relevant:</w:t>
      </w:r>
    </w:p>
    <w:p w:rsidR="00750901" w:rsidRDefault="00D52E83">
      <w:pPr>
        <w:numPr>
          <w:ilvl w:val="0"/>
          <w:numId w:val="72"/>
        </w:numPr>
        <w:spacing w:after="120" w:line="276" w:lineRule="auto"/>
        <w:jc w:val="both"/>
        <w:rPr>
          <w:rFonts w:cs="Arial"/>
        </w:rPr>
      </w:pPr>
      <w:r w:rsidRPr="004D5841">
        <w:rPr>
          <w:rFonts w:cs="Arial"/>
        </w:rPr>
        <w:t>Environmental Management Framework (EMF) to address any potential environmental impacts, including cumulative and/or indirect impacts of multiple activities;</w:t>
      </w:r>
    </w:p>
    <w:p w:rsidR="00750901" w:rsidRDefault="00301093">
      <w:pPr>
        <w:numPr>
          <w:ilvl w:val="0"/>
          <w:numId w:val="72"/>
        </w:numPr>
        <w:spacing w:after="120" w:line="276" w:lineRule="auto"/>
        <w:jc w:val="both"/>
        <w:rPr>
          <w:rFonts w:cs="Arial"/>
        </w:rPr>
      </w:pPr>
      <w:r>
        <w:rPr>
          <w:rFonts w:cs="Arial"/>
          <w:iCs/>
        </w:rPr>
        <w:t xml:space="preserve">Involuntary resettlement and/or </w:t>
      </w:r>
      <w:r w:rsidR="00D52E83">
        <w:rPr>
          <w:rFonts w:cs="Arial"/>
        </w:rPr>
        <w:t>restriction of access to natural resources</w:t>
      </w:r>
      <w:r w:rsidR="005762EB">
        <w:rPr>
          <w:rFonts w:cs="Arial"/>
        </w:rPr>
        <w:t xml:space="preserve"> having adverse livelihood impacts (e.g. Process Framework)</w:t>
      </w:r>
      <w:r w:rsidR="00D52E83" w:rsidRPr="004D5841">
        <w:rPr>
          <w:rFonts w:cs="Arial"/>
        </w:rPr>
        <w:t>;</w:t>
      </w:r>
    </w:p>
    <w:p w:rsidR="00750901" w:rsidRDefault="00D52E83">
      <w:pPr>
        <w:numPr>
          <w:ilvl w:val="0"/>
          <w:numId w:val="72"/>
        </w:numPr>
        <w:spacing w:after="120" w:line="276" w:lineRule="auto"/>
        <w:jc w:val="both"/>
        <w:rPr>
          <w:rFonts w:cs="Arial"/>
        </w:rPr>
      </w:pPr>
      <w:r w:rsidRPr="00A85BF3">
        <w:rPr>
          <w:rFonts w:cs="Arial"/>
          <w:iCs/>
        </w:rPr>
        <w:t xml:space="preserve">Stakeholder </w:t>
      </w:r>
      <w:r w:rsidR="00301093">
        <w:rPr>
          <w:rFonts w:cs="Arial"/>
          <w:iCs/>
        </w:rPr>
        <w:t>e</w:t>
      </w:r>
      <w:r w:rsidRPr="00A85BF3">
        <w:rPr>
          <w:rFonts w:cs="Arial"/>
          <w:iCs/>
        </w:rPr>
        <w:t xml:space="preserve">ngagement and </w:t>
      </w:r>
      <w:r w:rsidR="00301093">
        <w:rPr>
          <w:rFonts w:cs="Arial"/>
          <w:iCs/>
        </w:rPr>
        <w:t>d</w:t>
      </w:r>
      <w:r w:rsidRPr="00A85BF3">
        <w:rPr>
          <w:rFonts w:cs="Arial"/>
          <w:iCs/>
        </w:rPr>
        <w:t xml:space="preserve">ispute </w:t>
      </w:r>
      <w:r w:rsidR="00301093">
        <w:rPr>
          <w:rFonts w:cs="Arial"/>
          <w:iCs/>
        </w:rPr>
        <w:t>r</w:t>
      </w:r>
      <w:r w:rsidRPr="00A85BF3">
        <w:rPr>
          <w:rFonts w:cs="Arial"/>
          <w:iCs/>
        </w:rPr>
        <w:t>esolution</w:t>
      </w:r>
      <w:r w:rsidRPr="004D5841">
        <w:rPr>
          <w:rFonts w:cs="Arial"/>
        </w:rPr>
        <w:t xml:space="preserve"> </w:t>
      </w:r>
      <w:r w:rsidR="00301093">
        <w:rPr>
          <w:rFonts w:cs="Arial"/>
        </w:rPr>
        <w:t>f</w:t>
      </w:r>
      <w:r w:rsidR="001538CE">
        <w:rPr>
          <w:rFonts w:cs="Arial"/>
        </w:rPr>
        <w:t>ramework</w:t>
      </w:r>
      <w:r w:rsidRPr="004D5841">
        <w:rPr>
          <w:rFonts w:cs="Arial"/>
        </w:rPr>
        <w:t>; and</w:t>
      </w:r>
    </w:p>
    <w:p w:rsidR="00750901" w:rsidRDefault="00D52E83">
      <w:pPr>
        <w:numPr>
          <w:ilvl w:val="0"/>
          <w:numId w:val="72"/>
        </w:numPr>
        <w:spacing w:after="120" w:line="276" w:lineRule="auto"/>
        <w:jc w:val="both"/>
        <w:rPr>
          <w:rFonts w:cs="Arial"/>
        </w:rPr>
      </w:pPr>
      <w:r w:rsidRPr="004D5841">
        <w:rPr>
          <w:rFonts w:cs="Arial"/>
        </w:rPr>
        <w:lastRenderedPageBreak/>
        <w:t xml:space="preserve">Indigenous Peoples Planning Framework (IPPF) </w:t>
      </w:r>
      <w:r>
        <w:rPr>
          <w:rFonts w:cs="Arial"/>
        </w:rPr>
        <w:t>to address any effects on Indigenous Peoples</w:t>
      </w:r>
      <w:r w:rsidRPr="004D5841">
        <w:rPr>
          <w:rFonts w:cs="Arial"/>
        </w:rPr>
        <w:t>.</w:t>
      </w:r>
    </w:p>
    <w:p w:rsidR="00750901" w:rsidRDefault="00101053">
      <w:pPr>
        <w:pStyle w:val="ListParagraph"/>
        <w:numPr>
          <w:ilvl w:val="2"/>
          <w:numId w:val="59"/>
        </w:numPr>
        <w:spacing w:after="200" w:line="276" w:lineRule="auto"/>
        <w:ind w:right="-331"/>
        <w:contextualSpacing w:val="0"/>
        <w:jc w:val="both"/>
        <w:rPr>
          <w:b/>
        </w:rPr>
      </w:pPr>
      <w:r w:rsidRPr="00101053">
        <w:rPr>
          <w:b/>
        </w:rPr>
        <w:t xml:space="preserve">Consultation </w:t>
      </w:r>
      <w:r w:rsidR="00280466">
        <w:rPr>
          <w:b/>
        </w:rPr>
        <w:t xml:space="preserve">on </w:t>
      </w:r>
      <w:r w:rsidRPr="00101053">
        <w:rPr>
          <w:b/>
        </w:rPr>
        <w:t>and disclosure of the ESMF</w:t>
      </w:r>
    </w:p>
    <w:p w:rsidR="00750901" w:rsidRDefault="00580F27">
      <w:pPr>
        <w:pStyle w:val="ListParagraph"/>
        <w:spacing w:after="200" w:line="276" w:lineRule="auto"/>
        <w:ind w:left="0" w:right="-331"/>
        <w:contextualSpacing w:val="0"/>
        <w:jc w:val="both"/>
      </w:pPr>
      <w:r>
        <w:t xml:space="preserve">The </w:t>
      </w:r>
      <w:r w:rsidR="00D4163B">
        <w:t>generation</w:t>
      </w:r>
      <w:r>
        <w:t xml:space="preserve"> of a</w:t>
      </w:r>
      <w:r w:rsidR="00D4163B">
        <w:t xml:space="preserve"> draft </w:t>
      </w:r>
      <w:r>
        <w:t>ESMF</w:t>
      </w:r>
      <w:r w:rsidR="00D4163B">
        <w:t xml:space="preserve"> needs to be preceded by the preparation of the ESMF </w:t>
      </w:r>
      <w:r w:rsidR="00E204E0">
        <w:t>ToR</w:t>
      </w:r>
      <w:r w:rsidR="00D4163B">
        <w:t xml:space="preserve"> for which inputs are solicited through their public disclosure.</w:t>
      </w:r>
      <w:r>
        <w:t xml:space="preserve"> </w:t>
      </w:r>
      <w:r w:rsidR="004C176A" w:rsidRPr="00212490">
        <w:t xml:space="preserve">In putting together the draft ESMF, extensive stakeholder consultation shall be done, particularly in the critical areas as identified through the </w:t>
      </w:r>
      <w:r w:rsidR="00980746">
        <w:t xml:space="preserve">prioritization and </w:t>
      </w:r>
      <w:r w:rsidR="004C176A" w:rsidRPr="00212490">
        <w:t>mapping exercise.</w:t>
      </w:r>
      <w:r w:rsidR="00FE7B78" w:rsidRPr="00212490">
        <w:t xml:space="preserve"> The draft document should also be subject to broad stakeholder consultations and inputs. </w:t>
      </w:r>
      <w:r w:rsidR="00B26A11" w:rsidRPr="00212490">
        <w:t>Eventually, a representative sample of communities in the critical areas should be enabled to participate in a public hearing on the ESMF which should be held in a readily accessible community or district capital. Community-based organi</w:t>
      </w:r>
      <w:r w:rsidR="00280466">
        <w:t>z</w:t>
      </w:r>
      <w:r w:rsidR="00B26A11" w:rsidRPr="00212490">
        <w:t>ations and NGOs operating in these areas should participate in the public hearing, which should also be held in the local dialect widely spoken in the specific area. Special efforts should be made to engage the House of Chiefs separately.</w:t>
      </w:r>
      <w:r w:rsidR="00B26A11">
        <w:t xml:space="preserve"> </w:t>
      </w:r>
    </w:p>
    <w:p w:rsidR="00750901" w:rsidRDefault="007307F1">
      <w:pPr>
        <w:pStyle w:val="ListParagraph"/>
        <w:spacing w:after="200" w:line="276" w:lineRule="auto"/>
        <w:ind w:left="0" w:right="-331"/>
        <w:contextualSpacing w:val="0"/>
        <w:jc w:val="both"/>
      </w:pPr>
      <w:r>
        <w:t>C</w:t>
      </w:r>
      <w:r w:rsidR="00B26A11">
        <w:t xml:space="preserve">onsultation and participation </w:t>
      </w:r>
      <w:r>
        <w:t xml:space="preserve">for the SESA will </w:t>
      </w:r>
      <w:r w:rsidR="00B26A11">
        <w:t>include consultation</w:t>
      </w:r>
      <w:r>
        <w:t>s</w:t>
      </w:r>
      <w:r w:rsidR="00B26A11">
        <w:t xml:space="preserve"> of the ESMF which should involve community and institutional stakeholders in a manner consistent with Ghanaian Law and the World Bank safeguard and disclosure policies. </w:t>
      </w:r>
      <w:r w:rsidR="00FE7B78" w:rsidRPr="00212490">
        <w:t xml:space="preserve">Copies of the document should be made available to the public through the </w:t>
      </w:r>
      <w:r w:rsidR="0031115D" w:rsidRPr="00212490">
        <w:t>websites of the EPA and the Forestry Commission</w:t>
      </w:r>
      <w:r w:rsidR="00580F27">
        <w:t>, World Bank, Lingo and the Talking D</w:t>
      </w:r>
      <w:r w:rsidR="0078462A">
        <w:t>r</w:t>
      </w:r>
      <w:r w:rsidR="00580F27">
        <w:t>um</w:t>
      </w:r>
      <w:r w:rsidR="0031115D" w:rsidRPr="00212490">
        <w:t xml:space="preserve">; hard copies should also be available at </w:t>
      </w:r>
      <w:r w:rsidR="00FE7B78" w:rsidRPr="00212490">
        <w:t>EPA offices and the District Assemblies of the identified critical areas</w:t>
      </w:r>
      <w:r w:rsidR="00101053" w:rsidRPr="00101053">
        <w:t xml:space="preserve">. Copies should </w:t>
      </w:r>
      <w:r w:rsidR="00580F27">
        <w:t xml:space="preserve">also </w:t>
      </w:r>
      <w:r w:rsidR="00101053" w:rsidRPr="00101053">
        <w:t>be sent to relevant public sector institutions</w:t>
      </w:r>
      <w:r w:rsidR="00580F27">
        <w:t>, civil society</w:t>
      </w:r>
      <w:r w:rsidR="00101053" w:rsidRPr="00101053">
        <w:t xml:space="preserve"> and the private sector to solicit inputs and comments. </w:t>
      </w:r>
    </w:p>
    <w:p w:rsidR="00750901" w:rsidRDefault="00101053">
      <w:pPr>
        <w:numPr>
          <w:ilvl w:val="0"/>
          <w:numId w:val="59"/>
        </w:numPr>
        <w:spacing w:before="100" w:beforeAutospacing="1" w:after="100" w:afterAutospacing="1" w:line="276" w:lineRule="auto"/>
        <w:rPr>
          <w:b/>
        </w:rPr>
      </w:pPr>
      <w:r w:rsidRPr="00101053">
        <w:rPr>
          <w:b/>
        </w:rPr>
        <w:t xml:space="preserve">Schedule and Deliverables </w:t>
      </w:r>
    </w:p>
    <w:p w:rsidR="001A60ED" w:rsidRPr="004835C0" w:rsidRDefault="00101053" w:rsidP="001A60ED">
      <w:pPr>
        <w:spacing w:before="100" w:beforeAutospacing="1" w:after="100" w:afterAutospacing="1" w:line="276" w:lineRule="auto"/>
        <w:sectPr w:rsidR="001A60ED" w:rsidRPr="004835C0" w:rsidSect="007D66B5">
          <w:footerReference w:type="default" r:id="rId9"/>
          <w:pgSz w:w="12240" w:h="15840" w:code="1"/>
          <w:pgMar w:top="1440" w:right="1440" w:bottom="1440" w:left="1440" w:header="720" w:footer="720" w:gutter="0"/>
          <w:cols w:space="720"/>
          <w:docGrid w:linePitch="360"/>
        </w:sectPr>
      </w:pPr>
      <w:bookmarkStart w:id="0" w:name="x"/>
      <w:bookmarkEnd w:id="0"/>
      <w:r w:rsidRPr="00101053">
        <w:t xml:space="preserve">Table 1 </w:t>
      </w:r>
      <w:r w:rsidR="004835C0">
        <w:t xml:space="preserve">below </w:t>
      </w:r>
      <w:r w:rsidRPr="00101053">
        <w:t xml:space="preserve">summarizes the </w:t>
      </w:r>
      <w:r w:rsidR="004835C0">
        <w:t xml:space="preserve">main activities, deliverables and schedule for the implementation of the SESA process. </w:t>
      </w:r>
      <w:r w:rsidR="00750901">
        <w:t>Key intersection points with other activities of the REDD+ readiness package are also included.</w:t>
      </w:r>
    </w:p>
    <w:p w:rsidR="00750901" w:rsidRDefault="00C77A6A">
      <w:pPr>
        <w:spacing w:after="200" w:line="276" w:lineRule="auto"/>
        <w:ind w:right="-333"/>
        <w:jc w:val="both"/>
        <w:rPr>
          <w:b/>
        </w:rPr>
      </w:pPr>
      <w:r w:rsidRPr="00E53033">
        <w:rPr>
          <w:b/>
        </w:rPr>
        <w:lastRenderedPageBreak/>
        <w:t>Table 1</w:t>
      </w:r>
      <w:r w:rsidR="00062AC6">
        <w:rPr>
          <w:b/>
        </w:rPr>
        <w:t>: SESA Road Map</w:t>
      </w:r>
    </w:p>
    <w:tbl>
      <w:tblPr>
        <w:tblStyle w:val="TableGrid"/>
        <w:tblW w:w="0" w:type="auto"/>
        <w:tblLayout w:type="fixed"/>
        <w:tblLook w:val="04A0" w:firstRow="1" w:lastRow="0" w:firstColumn="1" w:lastColumn="0" w:noHBand="0" w:noVBand="1"/>
      </w:tblPr>
      <w:tblGrid>
        <w:gridCol w:w="828"/>
        <w:gridCol w:w="3420"/>
        <w:gridCol w:w="2070"/>
        <w:gridCol w:w="1048"/>
        <w:gridCol w:w="2209"/>
        <w:gridCol w:w="1359"/>
        <w:gridCol w:w="2242"/>
      </w:tblGrid>
      <w:tr w:rsidR="004835C0" w:rsidTr="000F1B59">
        <w:tc>
          <w:tcPr>
            <w:tcW w:w="828" w:type="dxa"/>
          </w:tcPr>
          <w:p w:rsidR="00553284" w:rsidRPr="00750901" w:rsidRDefault="00750901" w:rsidP="007A68B3">
            <w:pPr>
              <w:jc w:val="center"/>
              <w:rPr>
                <w:rFonts w:ascii="Times New Roman Bold" w:hAnsi="Times New Roman Bold"/>
                <w:b/>
              </w:rPr>
            </w:pPr>
            <w:r>
              <w:rPr>
                <w:rFonts w:ascii="Times New Roman Bold" w:hAnsi="Times New Roman Bold"/>
                <w:b/>
              </w:rPr>
              <w:t>Code</w:t>
            </w:r>
          </w:p>
        </w:tc>
        <w:tc>
          <w:tcPr>
            <w:tcW w:w="3420" w:type="dxa"/>
          </w:tcPr>
          <w:p w:rsidR="00553284" w:rsidRDefault="00553284" w:rsidP="007A68B3">
            <w:pPr>
              <w:jc w:val="center"/>
              <w:rPr>
                <w:b/>
              </w:rPr>
            </w:pPr>
            <w:r>
              <w:rPr>
                <w:b/>
              </w:rPr>
              <w:t>Activities</w:t>
            </w:r>
          </w:p>
        </w:tc>
        <w:tc>
          <w:tcPr>
            <w:tcW w:w="2070" w:type="dxa"/>
          </w:tcPr>
          <w:p w:rsidR="00553284" w:rsidRDefault="00553284" w:rsidP="007A68B3">
            <w:pPr>
              <w:jc w:val="center"/>
              <w:rPr>
                <w:b/>
              </w:rPr>
            </w:pPr>
            <w:r>
              <w:rPr>
                <w:b/>
              </w:rPr>
              <w:t>Institution / Organization Responsible</w:t>
            </w:r>
          </w:p>
        </w:tc>
        <w:tc>
          <w:tcPr>
            <w:tcW w:w="1048" w:type="dxa"/>
          </w:tcPr>
          <w:p w:rsidR="00553284" w:rsidRDefault="00553284" w:rsidP="007A68B3">
            <w:pPr>
              <w:jc w:val="center"/>
              <w:rPr>
                <w:b/>
              </w:rPr>
            </w:pPr>
            <w:r>
              <w:rPr>
                <w:b/>
              </w:rPr>
              <w:t>Time</w:t>
            </w:r>
          </w:p>
        </w:tc>
        <w:tc>
          <w:tcPr>
            <w:tcW w:w="2209" w:type="dxa"/>
          </w:tcPr>
          <w:p w:rsidR="00553284" w:rsidRDefault="00553284" w:rsidP="007A68B3">
            <w:pPr>
              <w:jc w:val="center"/>
              <w:rPr>
                <w:b/>
              </w:rPr>
            </w:pPr>
            <w:r>
              <w:rPr>
                <w:b/>
              </w:rPr>
              <w:t>Result Indicator (Deliverable)</w:t>
            </w:r>
          </w:p>
        </w:tc>
        <w:tc>
          <w:tcPr>
            <w:tcW w:w="3601" w:type="dxa"/>
            <w:gridSpan w:val="2"/>
          </w:tcPr>
          <w:p w:rsidR="00553284" w:rsidRDefault="00553284" w:rsidP="007A68B3">
            <w:pPr>
              <w:jc w:val="center"/>
              <w:rPr>
                <w:b/>
              </w:rPr>
            </w:pPr>
            <w:r>
              <w:rPr>
                <w:b/>
              </w:rPr>
              <w:t>Key intersections and comments</w:t>
            </w:r>
          </w:p>
        </w:tc>
      </w:tr>
      <w:tr w:rsidR="004835C0" w:rsidTr="000F1B59">
        <w:tc>
          <w:tcPr>
            <w:tcW w:w="828" w:type="dxa"/>
          </w:tcPr>
          <w:p w:rsidR="00553284" w:rsidRDefault="00553284" w:rsidP="007A68B3">
            <w:pPr>
              <w:jc w:val="center"/>
              <w:rPr>
                <w:b/>
              </w:rPr>
            </w:pPr>
            <w:r>
              <w:rPr>
                <w:b/>
              </w:rPr>
              <w:t>1</w:t>
            </w:r>
          </w:p>
        </w:tc>
        <w:tc>
          <w:tcPr>
            <w:tcW w:w="3420" w:type="dxa"/>
          </w:tcPr>
          <w:p w:rsidR="00553284" w:rsidRPr="00750901" w:rsidRDefault="003C6B09" w:rsidP="007A68B3">
            <w:pPr>
              <w:rPr>
                <w:rFonts w:ascii="Times New Roman Bold" w:hAnsi="Times New Roman Bold"/>
                <w:b/>
                <w:caps/>
              </w:rPr>
            </w:pPr>
            <w:r w:rsidRPr="00750901">
              <w:rPr>
                <w:rFonts w:ascii="Times New Roman Bold" w:hAnsi="Times New Roman Bold"/>
                <w:b/>
                <w:caps/>
              </w:rPr>
              <w:t>Preparation/Screening</w:t>
            </w:r>
          </w:p>
        </w:tc>
        <w:tc>
          <w:tcPr>
            <w:tcW w:w="2070" w:type="dxa"/>
          </w:tcPr>
          <w:p w:rsidR="00553284" w:rsidRDefault="00553284" w:rsidP="007A68B3">
            <w:pPr>
              <w:jc w:val="center"/>
              <w:rPr>
                <w:b/>
              </w:rPr>
            </w:pPr>
          </w:p>
        </w:tc>
        <w:tc>
          <w:tcPr>
            <w:tcW w:w="1048" w:type="dxa"/>
          </w:tcPr>
          <w:p w:rsidR="00553284" w:rsidRDefault="00553284" w:rsidP="007A68B3">
            <w:pPr>
              <w:jc w:val="center"/>
              <w:rPr>
                <w:b/>
              </w:rPr>
            </w:pPr>
          </w:p>
        </w:tc>
        <w:tc>
          <w:tcPr>
            <w:tcW w:w="2209" w:type="dxa"/>
          </w:tcPr>
          <w:p w:rsidR="00553284" w:rsidRDefault="00553284" w:rsidP="007A68B3">
            <w:pPr>
              <w:jc w:val="center"/>
              <w:rPr>
                <w:b/>
              </w:rPr>
            </w:pPr>
          </w:p>
        </w:tc>
        <w:tc>
          <w:tcPr>
            <w:tcW w:w="3601" w:type="dxa"/>
            <w:gridSpan w:val="2"/>
          </w:tcPr>
          <w:p w:rsidR="00553284" w:rsidRDefault="00553284" w:rsidP="007A68B3">
            <w:pPr>
              <w:jc w:val="center"/>
              <w:rPr>
                <w:b/>
              </w:rPr>
            </w:pPr>
          </w:p>
        </w:tc>
      </w:tr>
      <w:tr w:rsidR="004835C0" w:rsidTr="000F1B59">
        <w:tc>
          <w:tcPr>
            <w:tcW w:w="828" w:type="dxa"/>
          </w:tcPr>
          <w:p w:rsidR="00553284" w:rsidRDefault="00553284" w:rsidP="007A68B3">
            <w:pPr>
              <w:jc w:val="center"/>
              <w:rPr>
                <w:b/>
              </w:rPr>
            </w:pPr>
            <w:r>
              <w:rPr>
                <w:b/>
              </w:rPr>
              <w:t>1.1</w:t>
            </w:r>
          </w:p>
        </w:tc>
        <w:tc>
          <w:tcPr>
            <w:tcW w:w="3420" w:type="dxa"/>
          </w:tcPr>
          <w:p w:rsidR="00553284" w:rsidRPr="002E3003" w:rsidRDefault="00553284" w:rsidP="007A68B3">
            <w:r w:rsidRPr="002E3003">
              <w:t xml:space="preserve">Refinement of </w:t>
            </w:r>
            <w:r w:rsidR="00E204E0">
              <w:t>ToR</w:t>
            </w:r>
          </w:p>
        </w:tc>
        <w:tc>
          <w:tcPr>
            <w:tcW w:w="2070" w:type="dxa"/>
          </w:tcPr>
          <w:p w:rsidR="00553284" w:rsidRPr="004945D0" w:rsidRDefault="00553284" w:rsidP="007A68B3">
            <w:pPr>
              <w:jc w:val="center"/>
            </w:pPr>
            <w:r>
              <w:t xml:space="preserve">SESA sub-working group </w:t>
            </w:r>
            <w:r w:rsidRPr="00B6183A">
              <w:t>(</w:t>
            </w:r>
            <w:r>
              <w:t>coordination with the NRTWG)</w:t>
            </w:r>
          </w:p>
        </w:tc>
        <w:tc>
          <w:tcPr>
            <w:tcW w:w="1048" w:type="dxa"/>
          </w:tcPr>
          <w:p w:rsidR="00553284" w:rsidRPr="00B6183A" w:rsidRDefault="00553284" w:rsidP="00C04A21">
            <w:pPr>
              <w:jc w:val="center"/>
            </w:pPr>
            <w:r w:rsidRPr="00B6183A">
              <w:t>M</w:t>
            </w:r>
            <w:r>
              <w:t>onth 1</w:t>
            </w:r>
          </w:p>
        </w:tc>
        <w:tc>
          <w:tcPr>
            <w:tcW w:w="2209" w:type="dxa"/>
          </w:tcPr>
          <w:p w:rsidR="00553284" w:rsidRPr="00B6183A" w:rsidRDefault="00553284" w:rsidP="007A68B3">
            <w:pPr>
              <w:jc w:val="center"/>
            </w:pPr>
            <w:r>
              <w:t>Final ToR</w:t>
            </w:r>
          </w:p>
        </w:tc>
        <w:tc>
          <w:tcPr>
            <w:tcW w:w="3601" w:type="dxa"/>
            <w:gridSpan w:val="2"/>
          </w:tcPr>
          <w:p w:rsidR="00553284" w:rsidRDefault="00553284" w:rsidP="007A68B3">
            <w:pPr>
              <w:jc w:val="center"/>
            </w:pPr>
          </w:p>
        </w:tc>
      </w:tr>
      <w:tr w:rsidR="003F102E" w:rsidTr="00750901">
        <w:tc>
          <w:tcPr>
            <w:tcW w:w="13176" w:type="dxa"/>
            <w:gridSpan w:val="7"/>
          </w:tcPr>
          <w:p w:rsidR="003F102E" w:rsidRDefault="003F102E" w:rsidP="007A68B3">
            <w:pPr>
              <w:jc w:val="center"/>
              <w:rPr>
                <w:b/>
              </w:rPr>
            </w:pPr>
          </w:p>
        </w:tc>
      </w:tr>
      <w:tr w:rsidR="004835C0" w:rsidTr="000F1B59">
        <w:tc>
          <w:tcPr>
            <w:tcW w:w="828" w:type="dxa"/>
          </w:tcPr>
          <w:p w:rsidR="00553284" w:rsidRDefault="00553284" w:rsidP="007A68B3">
            <w:pPr>
              <w:jc w:val="center"/>
              <w:rPr>
                <w:b/>
              </w:rPr>
            </w:pPr>
            <w:r>
              <w:rPr>
                <w:b/>
              </w:rPr>
              <w:t>1.2</w:t>
            </w:r>
          </w:p>
        </w:tc>
        <w:tc>
          <w:tcPr>
            <w:tcW w:w="3420" w:type="dxa"/>
          </w:tcPr>
          <w:p w:rsidR="00553284" w:rsidRDefault="00553284" w:rsidP="007A68B3">
            <w:pPr>
              <w:rPr>
                <w:b/>
              </w:rPr>
            </w:pPr>
            <w:r>
              <w:rPr>
                <w:b/>
              </w:rPr>
              <w:t>Hiring of Consultants</w:t>
            </w:r>
          </w:p>
        </w:tc>
        <w:tc>
          <w:tcPr>
            <w:tcW w:w="2070" w:type="dxa"/>
          </w:tcPr>
          <w:p w:rsidR="00553284" w:rsidRDefault="00553284" w:rsidP="007A68B3">
            <w:pPr>
              <w:jc w:val="center"/>
              <w:rPr>
                <w:b/>
              </w:rPr>
            </w:pPr>
          </w:p>
        </w:tc>
        <w:tc>
          <w:tcPr>
            <w:tcW w:w="1048" w:type="dxa"/>
          </w:tcPr>
          <w:p w:rsidR="00553284" w:rsidRDefault="00553284" w:rsidP="007A68B3">
            <w:pPr>
              <w:jc w:val="center"/>
              <w:rPr>
                <w:b/>
              </w:rPr>
            </w:pPr>
          </w:p>
        </w:tc>
        <w:tc>
          <w:tcPr>
            <w:tcW w:w="2209" w:type="dxa"/>
          </w:tcPr>
          <w:p w:rsidR="00553284" w:rsidRDefault="00553284" w:rsidP="007A68B3">
            <w:pPr>
              <w:jc w:val="center"/>
              <w:rPr>
                <w:b/>
              </w:rPr>
            </w:pPr>
          </w:p>
        </w:tc>
        <w:tc>
          <w:tcPr>
            <w:tcW w:w="3601" w:type="dxa"/>
            <w:gridSpan w:val="2"/>
          </w:tcPr>
          <w:p w:rsidR="00553284" w:rsidRDefault="00980746" w:rsidP="007A68B3">
            <w:pPr>
              <w:jc w:val="center"/>
              <w:rPr>
                <w:b/>
              </w:rPr>
            </w:pPr>
            <w:r>
              <w:t>A consortium of local and international consultants is recommended</w:t>
            </w:r>
          </w:p>
        </w:tc>
      </w:tr>
      <w:tr w:rsidR="004835C0" w:rsidTr="000F1B59">
        <w:tc>
          <w:tcPr>
            <w:tcW w:w="828" w:type="dxa"/>
          </w:tcPr>
          <w:p w:rsidR="00553284" w:rsidRDefault="00553284" w:rsidP="007A68B3">
            <w:pPr>
              <w:jc w:val="center"/>
              <w:rPr>
                <w:b/>
              </w:rPr>
            </w:pPr>
            <w:r>
              <w:rPr>
                <w:b/>
              </w:rPr>
              <w:t>1.2.1</w:t>
            </w:r>
          </w:p>
        </w:tc>
        <w:tc>
          <w:tcPr>
            <w:tcW w:w="3420" w:type="dxa"/>
          </w:tcPr>
          <w:p w:rsidR="00553284" w:rsidRPr="00E8370D" w:rsidRDefault="00553284" w:rsidP="007A68B3">
            <w:r>
              <w:t>Request for Proposals</w:t>
            </w:r>
          </w:p>
        </w:tc>
        <w:tc>
          <w:tcPr>
            <w:tcW w:w="2070" w:type="dxa"/>
          </w:tcPr>
          <w:p w:rsidR="00553284" w:rsidRDefault="00553284" w:rsidP="007A68B3">
            <w:pPr>
              <w:jc w:val="center"/>
              <w:rPr>
                <w:b/>
              </w:rPr>
            </w:pPr>
            <w:r w:rsidRPr="001C1257">
              <w:t>FC – MLNR</w:t>
            </w:r>
            <w:r>
              <w:rPr>
                <w:b/>
              </w:rPr>
              <w:t xml:space="preserve"> (</w:t>
            </w:r>
            <w:r>
              <w:t>coordination with the NRTWG)</w:t>
            </w:r>
          </w:p>
        </w:tc>
        <w:tc>
          <w:tcPr>
            <w:tcW w:w="1048" w:type="dxa"/>
          </w:tcPr>
          <w:p w:rsidR="00553284" w:rsidRPr="00B6183A" w:rsidRDefault="00553284" w:rsidP="007A68B3">
            <w:pPr>
              <w:jc w:val="center"/>
            </w:pPr>
            <w:r w:rsidRPr="00B6183A">
              <w:t>Month</w:t>
            </w:r>
            <w:r>
              <w:t xml:space="preserve"> 1</w:t>
            </w:r>
          </w:p>
        </w:tc>
        <w:tc>
          <w:tcPr>
            <w:tcW w:w="2209" w:type="dxa"/>
          </w:tcPr>
          <w:p w:rsidR="00553284" w:rsidRPr="00B6183A" w:rsidRDefault="00553284" w:rsidP="007A68B3">
            <w:pPr>
              <w:jc w:val="center"/>
            </w:pPr>
            <w:r>
              <w:t>Public bid issued</w:t>
            </w:r>
          </w:p>
        </w:tc>
        <w:tc>
          <w:tcPr>
            <w:tcW w:w="3601" w:type="dxa"/>
            <w:gridSpan w:val="2"/>
          </w:tcPr>
          <w:p w:rsidR="00553284" w:rsidRDefault="00553284" w:rsidP="00980746">
            <w:pPr>
              <w:jc w:val="center"/>
            </w:pPr>
            <w:r>
              <w:t xml:space="preserve">Ensure consistency of timing and deliverables with the RFP for the REDD+ </w:t>
            </w:r>
            <w:r w:rsidR="00980746">
              <w:t>readiness package</w:t>
            </w:r>
          </w:p>
        </w:tc>
      </w:tr>
      <w:tr w:rsidR="004835C0" w:rsidTr="000F1B59">
        <w:tc>
          <w:tcPr>
            <w:tcW w:w="828" w:type="dxa"/>
          </w:tcPr>
          <w:p w:rsidR="00553284" w:rsidRDefault="00553284" w:rsidP="007A68B3">
            <w:pPr>
              <w:jc w:val="center"/>
              <w:rPr>
                <w:b/>
              </w:rPr>
            </w:pPr>
            <w:r>
              <w:rPr>
                <w:b/>
              </w:rPr>
              <w:t>1.2.2</w:t>
            </w:r>
          </w:p>
        </w:tc>
        <w:tc>
          <w:tcPr>
            <w:tcW w:w="3420" w:type="dxa"/>
          </w:tcPr>
          <w:p w:rsidR="00553284" w:rsidRDefault="00553284" w:rsidP="007A68B3">
            <w:r>
              <w:t>Short listing and bid evaluation</w:t>
            </w:r>
          </w:p>
        </w:tc>
        <w:tc>
          <w:tcPr>
            <w:tcW w:w="2070" w:type="dxa"/>
          </w:tcPr>
          <w:p w:rsidR="00553284" w:rsidRPr="001C1257" w:rsidRDefault="00553284" w:rsidP="007A68B3">
            <w:pPr>
              <w:jc w:val="center"/>
            </w:pPr>
            <w:r w:rsidRPr="001C1257">
              <w:t>MLNR, SESA Sub-WG</w:t>
            </w:r>
          </w:p>
        </w:tc>
        <w:tc>
          <w:tcPr>
            <w:tcW w:w="1048" w:type="dxa"/>
          </w:tcPr>
          <w:p w:rsidR="00553284" w:rsidRPr="00B6183A" w:rsidRDefault="00553284" w:rsidP="007A68B3">
            <w:pPr>
              <w:jc w:val="center"/>
            </w:pPr>
            <w:r>
              <w:t>Month 5</w:t>
            </w:r>
          </w:p>
        </w:tc>
        <w:tc>
          <w:tcPr>
            <w:tcW w:w="2209" w:type="dxa"/>
          </w:tcPr>
          <w:p w:rsidR="00553284" w:rsidRPr="00B6183A" w:rsidRDefault="00553284" w:rsidP="007A68B3">
            <w:pPr>
              <w:jc w:val="center"/>
            </w:pPr>
            <w:r>
              <w:t>Evaluation report</w:t>
            </w:r>
          </w:p>
        </w:tc>
        <w:tc>
          <w:tcPr>
            <w:tcW w:w="3601" w:type="dxa"/>
            <w:gridSpan w:val="2"/>
          </w:tcPr>
          <w:p w:rsidR="00553284" w:rsidRDefault="00553284" w:rsidP="007A68B3">
            <w:pPr>
              <w:jc w:val="center"/>
            </w:pPr>
          </w:p>
        </w:tc>
      </w:tr>
      <w:tr w:rsidR="004835C0" w:rsidTr="000F1B59">
        <w:tc>
          <w:tcPr>
            <w:tcW w:w="828" w:type="dxa"/>
          </w:tcPr>
          <w:p w:rsidR="00553284" w:rsidRDefault="00553284" w:rsidP="007A68B3">
            <w:pPr>
              <w:jc w:val="center"/>
              <w:rPr>
                <w:b/>
              </w:rPr>
            </w:pPr>
            <w:r>
              <w:rPr>
                <w:b/>
              </w:rPr>
              <w:t>1.2.3</w:t>
            </w:r>
          </w:p>
        </w:tc>
        <w:tc>
          <w:tcPr>
            <w:tcW w:w="3420" w:type="dxa"/>
          </w:tcPr>
          <w:p w:rsidR="00553284" w:rsidRDefault="00553284" w:rsidP="007A68B3">
            <w:r>
              <w:t>Awarding of contract</w:t>
            </w:r>
          </w:p>
        </w:tc>
        <w:tc>
          <w:tcPr>
            <w:tcW w:w="2070" w:type="dxa"/>
          </w:tcPr>
          <w:p w:rsidR="00553284" w:rsidRPr="001C1257" w:rsidRDefault="00553284" w:rsidP="007A68B3">
            <w:pPr>
              <w:jc w:val="center"/>
            </w:pPr>
            <w:r w:rsidRPr="001C1257">
              <w:t>MLNR/Public Procurement Board</w:t>
            </w:r>
          </w:p>
        </w:tc>
        <w:tc>
          <w:tcPr>
            <w:tcW w:w="1048" w:type="dxa"/>
          </w:tcPr>
          <w:p w:rsidR="00553284" w:rsidRPr="00B6183A" w:rsidRDefault="00553284" w:rsidP="007A68B3">
            <w:pPr>
              <w:jc w:val="center"/>
            </w:pPr>
            <w:r>
              <w:t>Month 6</w:t>
            </w:r>
          </w:p>
        </w:tc>
        <w:tc>
          <w:tcPr>
            <w:tcW w:w="2209" w:type="dxa"/>
          </w:tcPr>
          <w:p w:rsidR="00553284" w:rsidRPr="00B6183A" w:rsidRDefault="00553284" w:rsidP="007A68B3">
            <w:pPr>
              <w:jc w:val="center"/>
            </w:pPr>
            <w:r>
              <w:t>Signed consultancy contract</w:t>
            </w:r>
          </w:p>
        </w:tc>
        <w:tc>
          <w:tcPr>
            <w:tcW w:w="3601" w:type="dxa"/>
            <w:gridSpan w:val="2"/>
          </w:tcPr>
          <w:p w:rsidR="00553284" w:rsidRDefault="00553284" w:rsidP="007A68B3">
            <w:pPr>
              <w:jc w:val="center"/>
            </w:pPr>
          </w:p>
        </w:tc>
      </w:tr>
      <w:tr w:rsidR="003F102E" w:rsidTr="00750901">
        <w:tc>
          <w:tcPr>
            <w:tcW w:w="13176" w:type="dxa"/>
            <w:gridSpan w:val="7"/>
          </w:tcPr>
          <w:p w:rsidR="003F102E" w:rsidRPr="00B6183A" w:rsidRDefault="003F102E" w:rsidP="007A68B3">
            <w:pPr>
              <w:jc w:val="center"/>
            </w:pPr>
          </w:p>
        </w:tc>
      </w:tr>
      <w:tr w:rsidR="004835C0" w:rsidTr="000F1B59">
        <w:tc>
          <w:tcPr>
            <w:tcW w:w="828" w:type="dxa"/>
          </w:tcPr>
          <w:p w:rsidR="00553284" w:rsidRDefault="009D4CF5" w:rsidP="007A68B3">
            <w:pPr>
              <w:jc w:val="center"/>
              <w:rPr>
                <w:b/>
              </w:rPr>
            </w:pPr>
            <w:r>
              <w:rPr>
                <w:b/>
              </w:rPr>
              <w:t>2</w:t>
            </w:r>
          </w:p>
        </w:tc>
        <w:tc>
          <w:tcPr>
            <w:tcW w:w="3420" w:type="dxa"/>
          </w:tcPr>
          <w:p w:rsidR="00553284" w:rsidRPr="00750901" w:rsidRDefault="009D4CF5" w:rsidP="007A68B3">
            <w:pPr>
              <w:rPr>
                <w:rFonts w:ascii="Times New Roman Bold" w:hAnsi="Times New Roman Bold"/>
                <w:b/>
                <w:caps/>
              </w:rPr>
            </w:pPr>
            <w:r w:rsidRPr="00750901">
              <w:rPr>
                <w:rFonts w:ascii="Times New Roman Bold" w:hAnsi="Times New Roman Bold"/>
                <w:b/>
                <w:caps/>
              </w:rPr>
              <w:t>Scoping</w:t>
            </w:r>
          </w:p>
        </w:tc>
        <w:tc>
          <w:tcPr>
            <w:tcW w:w="2070" w:type="dxa"/>
          </w:tcPr>
          <w:p w:rsidR="00553284" w:rsidRDefault="00553284" w:rsidP="007A68B3">
            <w:pPr>
              <w:jc w:val="center"/>
              <w:rPr>
                <w:b/>
              </w:rPr>
            </w:pPr>
          </w:p>
        </w:tc>
        <w:tc>
          <w:tcPr>
            <w:tcW w:w="1048" w:type="dxa"/>
          </w:tcPr>
          <w:p w:rsidR="00553284" w:rsidRPr="00B6183A" w:rsidRDefault="00553284" w:rsidP="007A68B3">
            <w:pPr>
              <w:jc w:val="center"/>
            </w:pPr>
          </w:p>
        </w:tc>
        <w:tc>
          <w:tcPr>
            <w:tcW w:w="2209" w:type="dxa"/>
          </w:tcPr>
          <w:p w:rsidR="00553284" w:rsidRPr="00B6183A" w:rsidRDefault="00553284" w:rsidP="007A68B3">
            <w:pPr>
              <w:jc w:val="center"/>
            </w:pPr>
          </w:p>
        </w:tc>
        <w:tc>
          <w:tcPr>
            <w:tcW w:w="3601" w:type="dxa"/>
            <w:gridSpan w:val="2"/>
          </w:tcPr>
          <w:p w:rsidR="00553284" w:rsidRPr="00B6183A" w:rsidRDefault="00553284" w:rsidP="007A68B3">
            <w:pPr>
              <w:jc w:val="center"/>
            </w:pPr>
          </w:p>
        </w:tc>
      </w:tr>
      <w:tr w:rsidR="009D4CF5" w:rsidTr="000F1B59">
        <w:trPr>
          <w:trHeight w:val="759"/>
        </w:trPr>
        <w:tc>
          <w:tcPr>
            <w:tcW w:w="828" w:type="dxa"/>
          </w:tcPr>
          <w:p w:rsidR="009D4CF5" w:rsidRDefault="009D4CF5" w:rsidP="007A68B3">
            <w:pPr>
              <w:jc w:val="center"/>
              <w:rPr>
                <w:b/>
              </w:rPr>
            </w:pPr>
            <w:r>
              <w:rPr>
                <w:b/>
              </w:rPr>
              <w:t>2.1</w:t>
            </w:r>
          </w:p>
          <w:p w:rsidR="009D4CF5" w:rsidRDefault="009D4CF5" w:rsidP="007A68B3">
            <w:pPr>
              <w:jc w:val="center"/>
              <w:rPr>
                <w:b/>
              </w:rPr>
            </w:pPr>
          </w:p>
        </w:tc>
        <w:tc>
          <w:tcPr>
            <w:tcW w:w="3420" w:type="dxa"/>
          </w:tcPr>
          <w:p w:rsidR="009D4CF5" w:rsidRPr="00E8370D" w:rsidRDefault="009D4CF5" w:rsidP="007A68B3">
            <w:r>
              <w:t xml:space="preserve">Gap assessment of </w:t>
            </w:r>
            <w:r w:rsidR="00750901">
              <w:t>R</w:t>
            </w:r>
            <w:r w:rsidR="001538CE">
              <w:t>-</w:t>
            </w:r>
            <w:r w:rsidR="00750901">
              <w:t xml:space="preserve">PP </w:t>
            </w:r>
            <w:r>
              <w:t>stakeholder analysis</w:t>
            </w:r>
          </w:p>
        </w:tc>
        <w:tc>
          <w:tcPr>
            <w:tcW w:w="2070" w:type="dxa"/>
            <w:vMerge w:val="restart"/>
          </w:tcPr>
          <w:p w:rsidR="009D4CF5" w:rsidRPr="00340741" w:rsidRDefault="009D4CF5" w:rsidP="007A68B3">
            <w:pPr>
              <w:jc w:val="center"/>
            </w:pPr>
            <w:r w:rsidRPr="00340741">
              <w:t>C</w:t>
            </w:r>
            <w:r>
              <w:t>onsultant</w:t>
            </w:r>
          </w:p>
        </w:tc>
        <w:tc>
          <w:tcPr>
            <w:tcW w:w="1048" w:type="dxa"/>
            <w:vMerge w:val="restart"/>
          </w:tcPr>
          <w:p w:rsidR="009D4CF5" w:rsidRPr="009D0E3C" w:rsidRDefault="009D4CF5" w:rsidP="007A68B3">
            <w:pPr>
              <w:jc w:val="center"/>
            </w:pPr>
            <w:r w:rsidRPr="009D0E3C">
              <w:t>Month 7</w:t>
            </w:r>
          </w:p>
        </w:tc>
        <w:tc>
          <w:tcPr>
            <w:tcW w:w="2209" w:type="dxa"/>
            <w:vMerge w:val="restart"/>
          </w:tcPr>
          <w:p w:rsidR="009D4CF5" w:rsidRPr="009D0E3C" w:rsidRDefault="00750901" w:rsidP="00750901">
            <w:pPr>
              <w:jc w:val="center"/>
            </w:pPr>
            <w:r>
              <w:t>Progress/inception r</w:t>
            </w:r>
            <w:r w:rsidR="009D4CF5">
              <w:t>eport submitted to EPA</w:t>
            </w:r>
          </w:p>
        </w:tc>
        <w:tc>
          <w:tcPr>
            <w:tcW w:w="3601" w:type="dxa"/>
            <w:gridSpan w:val="2"/>
            <w:vMerge w:val="restart"/>
          </w:tcPr>
          <w:p w:rsidR="009D4CF5" w:rsidRDefault="00980746" w:rsidP="007A68B3">
            <w:pPr>
              <w:jc w:val="center"/>
            </w:pPr>
            <w:r w:rsidRPr="00980746">
              <w:t>SESA C&amp;P activities should be compatible with existing C&amp;P master plan and coordinated with consultation plan for the REDD+ strategy</w:t>
            </w:r>
          </w:p>
        </w:tc>
      </w:tr>
      <w:tr w:rsidR="004835C0" w:rsidTr="000F1B59">
        <w:tc>
          <w:tcPr>
            <w:tcW w:w="828" w:type="dxa"/>
          </w:tcPr>
          <w:p w:rsidR="00553284" w:rsidRDefault="009D4CF5" w:rsidP="007A68B3">
            <w:pPr>
              <w:jc w:val="center"/>
              <w:rPr>
                <w:b/>
              </w:rPr>
            </w:pPr>
            <w:r>
              <w:rPr>
                <w:b/>
              </w:rPr>
              <w:t>2.2</w:t>
            </w:r>
          </w:p>
        </w:tc>
        <w:tc>
          <w:tcPr>
            <w:tcW w:w="3420" w:type="dxa"/>
          </w:tcPr>
          <w:p w:rsidR="00553284" w:rsidRDefault="00980746" w:rsidP="00E0107E">
            <w:r>
              <w:t xml:space="preserve">Refinement of SESA consultation &amp; participation (C&amp;P) activities and formulation of SESA </w:t>
            </w:r>
            <w:r w:rsidR="00E0107E">
              <w:t>W</w:t>
            </w:r>
            <w:r>
              <w:t xml:space="preserve">ork </w:t>
            </w:r>
            <w:r w:rsidR="00E0107E">
              <w:t>P</w:t>
            </w:r>
            <w:r>
              <w:t>lan</w:t>
            </w:r>
          </w:p>
        </w:tc>
        <w:tc>
          <w:tcPr>
            <w:tcW w:w="2070" w:type="dxa"/>
            <w:vMerge/>
          </w:tcPr>
          <w:p w:rsidR="00553284" w:rsidRDefault="00553284" w:rsidP="007A68B3">
            <w:pPr>
              <w:jc w:val="center"/>
              <w:rPr>
                <w:b/>
              </w:rPr>
            </w:pPr>
          </w:p>
        </w:tc>
        <w:tc>
          <w:tcPr>
            <w:tcW w:w="1048" w:type="dxa"/>
            <w:vMerge/>
          </w:tcPr>
          <w:p w:rsidR="00553284" w:rsidRPr="009D0E3C" w:rsidRDefault="00553284" w:rsidP="007A68B3">
            <w:pPr>
              <w:jc w:val="center"/>
            </w:pPr>
          </w:p>
        </w:tc>
        <w:tc>
          <w:tcPr>
            <w:tcW w:w="2209" w:type="dxa"/>
            <w:vMerge/>
          </w:tcPr>
          <w:p w:rsidR="00553284" w:rsidRPr="009D0E3C" w:rsidRDefault="00553284" w:rsidP="007A68B3">
            <w:pPr>
              <w:jc w:val="center"/>
            </w:pPr>
          </w:p>
        </w:tc>
        <w:tc>
          <w:tcPr>
            <w:tcW w:w="3601" w:type="dxa"/>
            <w:gridSpan w:val="2"/>
            <w:vMerge/>
          </w:tcPr>
          <w:p w:rsidR="00553284" w:rsidRPr="009D0E3C" w:rsidRDefault="00553284" w:rsidP="007A68B3">
            <w:pPr>
              <w:jc w:val="center"/>
            </w:pPr>
          </w:p>
        </w:tc>
      </w:tr>
      <w:tr w:rsidR="00750901" w:rsidTr="000F1B59">
        <w:tc>
          <w:tcPr>
            <w:tcW w:w="828" w:type="dxa"/>
          </w:tcPr>
          <w:p w:rsidR="00750901" w:rsidDel="009D4CF5" w:rsidRDefault="00750901" w:rsidP="007A68B3">
            <w:pPr>
              <w:jc w:val="center"/>
              <w:rPr>
                <w:b/>
              </w:rPr>
            </w:pPr>
            <w:r>
              <w:rPr>
                <w:b/>
              </w:rPr>
              <w:t>2.3</w:t>
            </w:r>
          </w:p>
        </w:tc>
        <w:tc>
          <w:tcPr>
            <w:tcW w:w="3420" w:type="dxa"/>
          </w:tcPr>
          <w:p w:rsidR="00750901" w:rsidRPr="00750901" w:rsidRDefault="00750901" w:rsidP="00980746">
            <w:pPr>
              <w:rPr>
                <w:b/>
              </w:rPr>
            </w:pPr>
            <w:r w:rsidRPr="00750901">
              <w:rPr>
                <w:b/>
              </w:rPr>
              <w:t>Validation</w:t>
            </w:r>
            <w:r>
              <w:rPr>
                <w:b/>
              </w:rPr>
              <w:t xml:space="preserve"> of </w:t>
            </w:r>
            <w:r w:rsidR="00980746">
              <w:rPr>
                <w:b/>
              </w:rPr>
              <w:t>SESA</w:t>
            </w:r>
            <w:r>
              <w:rPr>
                <w:b/>
              </w:rPr>
              <w:t xml:space="preserve"> </w:t>
            </w:r>
            <w:r w:rsidR="00D32527">
              <w:rPr>
                <w:b/>
              </w:rPr>
              <w:t xml:space="preserve">Work </w:t>
            </w:r>
            <w:r>
              <w:rPr>
                <w:b/>
              </w:rPr>
              <w:t>Plan</w:t>
            </w:r>
          </w:p>
        </w:tc>
        <w:tc>
          <w:tcPr>
            <w:tcW w:w="2070" w:type="dxa"/>
          </w:tcPr>
          <w:p w:rsidR="00750901" w:rsidRDefault="00750901" w:rsidP="007A68B3">
            <w:pPr>
              <w:jc w:val="center"/>
              <w:rPr>
                <w:b/>
              </w:rPr>
            </w:pPr>
          </w:p>
        </w:tc>
        <w:tc>
          <w:tcPr>
            <w:tcW w:w="1048" w:type="dxa"/>
          </w:tcPr>
          <w:p w:rsidR="00750901" w:rsidRPr="009D0E3C" w:rsidRDefault="00750901" w:rsidP="007A68B3">
            <w:pPr>
              <w:jc w:val="center"/>
            </w:pPr>
          </w:p>
        </w:tc>
        <w:tc>
          <w:tcPr>
            <w:tcW w:w="2209" w:type="dxa"/>
          </w:tcPr>
          <w:p w:rsidR="00750901" w:rsidRPr="009D0E3C" w:rsidRDefault="00750901" w:rsidP="007A68B3">
            <w:pPr>
              <w:jc w:val="center"/>
            </w:pPr>
          </w:p>
        </w:tc>
        <w:tc>
          <w:tcPr>
            <w:tcW w:w="3601" w:type="dxa"/>
            <w:gridSpan w:val="2"/>
          </w:tcPr>
          <w:p w:rsidR="00750901" w:rsidRPr="009D0E3C" w:rsidRDefault="00750901" w:rsidP="007A68B3">
            <w:pPr>
              <w:jc w:val="center"/>
            </w:pPr>
          </w:p>
        </w:tc>
      </w:tr>
      <w:tr w:rsidR="00D32527" w:rsidTr="000F1B59">
        <w:tc>
          <w:tcPr>
            <w:tcW w:w="828" w:type="dxa"/>
          </w:tcPr>
          <w:p w:rsidR="00D32527" w:rsidRDefault="00D32527" w:rsidP="00750901">
            <w:pPr>
              <w:jc w:val="center"/>
              <w:rPr>
                <w:b/>
              </w:rPr>
            </w:pPr>
            <w:r>
              <w:rPr>
                <w:b/>
              </w:rPr>
              <w:t>2.3.1</w:t>
            </w:r>
          </w:p>
        </w:tc>
        <w:tc>
          <w:tcPr>
            <w:tcW w:w="3420" w:type="dxa"/>
          </w:tcPr>
          <w:p w:rsidR="00D32527" w:rsidRDefault="00D32527" w:rsidP="007A68B3">
            <w:r>
              <w:t>Organization of National Workshop</w:t>
            </w:r>
          </w:p>
        </w:tc>
        <w:tc>
          <w:tcPr>
            <w:tcW w:w="2070" w:type="dxa"/>
            <w:vMerge w:val="restart"/>
          </w:tcPr>
          <w:p w:rsidR="00D32527" w:rsidRPr="00C24994" w:rsidRDefault="00D32527" w:rsidP="007A68B3">
            <w:pPr>
              <w:jc w:val="center"/>
            </w:pPr>
            <w:r w:rsidRPr="001C1257">
              <w:t>SESA sub</w:t>
            </w:r>
            <w:r>
              <w:t xml:space="preserve">-WG through the consultants </w:t>
            </w:r>
          </w:p>
        </w:tc>
        <w:tc>
          <w:tcPr>
            <w:tcW w:w="1048" w:type="dxa"/>
            <w:vMerge w:val="restart"/>
          </w:tcPr>
          <w:p w:rsidR="00D32527" w:rsidRPr="00C24994" w:rsidRDefault="00D32527" w:rsidP="007A68B3">
            <w:pPr>
              <w:jc w:val="center"/>
            </w:pPr>
            <w:r w:rsidRPr="00C24994">
              <w:t>Month</w:t>
            </w:r>
            <w:r>
              <w:t>s</w:t>
            </w:r>
            <w:r w:rsidRPr="00C24994">
              <w:t xml:space="preserve"> 8</w:t>
            </w:r>
            <w:r>
              <w:t xml:space="preserve"> and 9</w:t>
            </w:r>
          </w:p>
        </w:tc>
        <w:tc>
          <w:tcPr>
            <w:tcW w:w="2209" w:type="dxa"/>
          </w:tcPr>
          <w:p w:rsidR="00D32527" w:rsidRPr="00C24994" w:rsidRDefault="00D32527" w:rsidP="007A68B3">
            <w:pPr>
              <w:jc w:val="center"/>
            </w:pPr>
            <w:r>
              <w:t>Invitation and agenda issued</w:t>
            </w:r>
          </w:p>
        </w:tc>
        <w:tc>
          <w:tcPr>
            <w:tcW w:w="3601" w:type="dxa"/>
            <w:gridSpan w:val="2"/>
            <w:vMerge w:val="restart"/>
          </w:tcPr>
          <w:p w:rsidR="00D32527" w:rsidRDefault="00805814" w:rsidP="00805814">
            <w:pPr>
              <w:jc w:val="center"/>
            </w:pPr>
            <w:r>
              <w:t xml:space="preserve">- </w:t>
            </w:r>
            <w:r w:rsidR="00D32527">
              <w:t xml:space="preserve">Includes participation of representatives of forest communities, districts and relevant institutional stakeholders   </w:t>
            </w:r>
          </w:p>
          <w:p w:rsidR="00805814" w:rsidRDefault="00805814" w:rsidP="00805814">
            <w:pPr>
              <w:jc w:val="center"/>
            </w:pPr>
            <w:r>
              <w:t>- Inclusion of forest forums and CREMAs should be considered</w:t>
            </w:r>
          </w:p>
        </w:tc>
      </w:tr>
      <w:tr w:rsidR="00D32527" w:rsidTr="000F1B59">
        <w:tc>
          <w:tcPr>
            <w:tcW w:w="828" w:type="dxa"/>
          </w:tcPr>
          <w:p w:rsidR="00D32527" w:rsidRDefault="00D32527" w:rsidP="00750901">
            <w:pPr>
              <w:jc w:val="center"/>
              <w:rPr>
                <w:b/>
              </w:rPr>
            </w:pPr>
            <w:r>
              <w:rPr>
                <w:b/>
              </w:rPr>
              <w:t>2.3.2</w:t>
            </w:r>
          </w:p>
        </w:tc>
        <w:tc>
          <w:tcPr>
            <w:tcW w:w="3420" w:type="dxa"/>
          </w:tcPr>
          <w:p w:rsidR="00D32527" w:rsidRDefault="00D32527" w:rsidP="007A68B3">
            <w:r>
              <w:t>National workshop and reporting</w:t>
            </w:r>
          </w:p>
        </w:tc>
        <w:tc>
          <w:tcPr>
            <w:tcW w:w="2070" w:type="dxa"/>
            <w:vMerge/>
          </w:tcPr>
          <w:p w:rsidR="00D32527" w:rsidRDefault="00D32527" w:rsidP="007A68B3">
            <w:pPr>
              <w:jc w:val="center"/>
              <w:rPr>
                <w:b/>
              </w:rPr>
            </w:pPr>
          </w:p>
        </w:tc>
        <w:tc>
          <w:tcPr>
            <w:tcW w:w="1048" w:type="dxa"/>
            <w:vMerge/>
          </w:tcPr>
          <w:p w:rsidR="00D32527" w:rsidRPr="00C24994" w:rsidRDefault="00D32527" w:rsidP="007A68B3">
            <w:pPr>
              <w:jc w:val="center"/>
            </w:pPr>
          </w:p>
        </w:tc>
        <w:tc>
          <w:tcPr>
            <w:tcW w:w="2209" w:type="dxa"/>
          </w:tcPr>
          <w:p w:rsidR="00D32527" w:rsidRPr="00C24994" w:rsidRDefault="00D32527" w:rsidP="007A68B3">
            <w:pPr>
              <w:jc w:val="center"/>
            </w:pPr>
            <w:r>
              <w:t>Workshop report</w:t>
            </w:r>
          </w:p>
        </w:tc>
        <w:tc>
          <w:tcPr>
            <w:tcW w:w="3601" w:type="dxa"/>
            <w:gridSpan w:val="2"/>
            <w:vMerge/>
          </w:tcPr>
          <w:p w:rsidR="00D32527" w:rsidRPr="00C24994" w:rsidRDefault="00D32527" w:rsidP="007A68B3">
            <w:pPr>
              <w:jc w:val="center"/>
            </w:pPr>
          </w:p>
        </w:tc>
      </w:tr>
      <w:tr w:rsidR="00D32527" w:rsidRPr="00D32527" w:rsidTr="000F1B59">
        <w:tc>
          <w:tcPr>
            <w:tcW w:w="828" w:type="dxa"/>
          </w:tcPr>
          <w:p w:rsidR="00D32527" w:rsidRDefault="00D32527" w:rsidP="00750901">
            <w:pPr>
              <w:jc w:val="center"/>
              <w:rPr>
                <w:b/>
              </w:rPr>
            </w:pPr>
            <w:r>
              <w:rPr>
                <w:b/>
              </w:rPr>
              <w:t>2.3.3</w:t>
            </w:r>
          </w:p>
        </w:tc>
        <w:tc>
          <w:tcPr>
            <w:tcW w:w="3420" w:type="dxa"/>
          </w:tcPr>
          <w:p w:rsidR="00D32527" w:rsidRDefault="00D32527" w:rsidP="00D32527">
            <w:r>
              <w:t>Finalization of SESA Work Plan</w:t>
            </w:r>
          </w:p>
        </w:tc>
        <w:tc>
          <w:tcPr>
            <w:tcW w:w="2070" w:type="dxa"/>
          </w:tcPr>
          <w:p w:rsidR="00D32527" w:rsidRPr="001C1257" w:rsidRDefault="00D32527" w:rsidP="007A68B3">
            <w:pPr>
              <w:jc w:val="center"/>
            </w:pPr>
            <w:r w:rsidRPr="001C1257">
              <w:t>Consultant</w:t>
            </w:r>
          </w:p>
        </w:tc>
        <w:tc>
          <w:tcPr>
            <w:tcW w:w="1048" w:type="dxa"/>
            <w:vMerge/>
          </w:tcPr>
          <w:p w:rsidR="00D32527" w:rsidRPr="00C24994" w:rsidRDefault="00D32527" w:rsidP="007A68B3">
            <w:pPr>
              <w:jc w:val="center"/>
            </w:pPr>
          </w:p>
        </w:tc>
        <w:tc>
          <w:tcPr>
            <w:tcW w:w="2209" w:type="dxa"/>
          </w:tcPr>
          <w:p w:rsidR="00D32527" w:rsidRPr="00D32527" w:rsidRDefault="0096551A" w:rsidP="00D32527">
            <w:pPr>
              <w:jc w:val="center"/>
            </w:pPr>
            <w:r w:rsidRPr="0096551A">
              <w:t>Final SESA Work Plan tha</w:t>
            </w:r>
            <w:r w:rsidR="00D32527">
              <w:t>t includes C&amp;P SESA activities</w:t>
            </w:r>
          </w:p>
        </w:tc>
        <w:tc>
          <w:tcPr>
            <w:tcW w:w="3601" w:type="dxa"/>
            <w:gridSpan w:val="2"/>
            <w:vMerge/>
          </w:tcPr>
          <w:p w:rsidR="00D32527" w:rsidRPr="00D32527" w:rsidRDefault="00D32527" w:rsidP="007A68B3">
            <w:pPr>
              <w:jc w:val="center"/>
            </w:pPr>
          </w:p>
        </w:tc>
      </w:tr>
      <w:tr w:rsidR="004835C0" w:rsidTr="000F1B59">
        <w:tc>
          <w:tcPr>
            <w:tcW w:w="828" w:type="dxa"/>
          </w:tcPr>
          <w:p w:rsidR="00750901" w:rsidRDefault="009D4CF5" w:rsidP="00750901">
            <w:pPr>
              <w:jc w:val="center"/>
              <w:rPr>
                <w:b/>
              </w:rPr>
            </w:pPr>
            <w:r>
              <w:rPr>
                <w:b/>
              </w:rPr>
              <w:t>2.</w:t>
            </w:r>
            <w:r w:rsidR="00750901">
              <w:rPr>
                <w:b/>
              </w:rPr>
              <w:t>3</w:t>
            </w:r>
            <w:r>
              <w:rPr>
                <w:b/>
              </w:rPr>
              <w:t>.4</w:t>
            </w:r>
          </w:p>
        </w:tc>
        <w:tc>
          <w:tcPr>
            <w:tcW w:w="3420" w:type="dxa"/>
          </w:tcPr>
          <w:p w:rsidR="00553284" w:rsidRDefault="00553284" w:rsidP="00D32527">
            <w:r>
              <w:t xml:space="preserve">Disclosure of </w:t>
            </w:r>
            <w:r w:rsidR="00D32527">
              <w:t>SESA Work</w:t>
            </w:r>
            <w:r>
              <w:t xml:space="preserve"> Plan</w:t>
            </w:r>
          </w:p>
        </w:tc>
        <w:tc>
          <w:tcPr>
            <w:tcW w:w="2070" w:type="dxa"/>
          </w:tcPr>
          <w:p w:rsidR="00553284" w:rsidRPr="001C1257" w:rsidRDefault="00553284" w:rsidP="007A68B3">
            <w:pPr>
              <w:jc w:val="center"/>
            </w:pPr>
            <w:r w:rsidRPr="001C1257">
              <w:t>FC/EPA</w:t>
            </w:r>
          </w:p>
        </w:tc>
        <w:tc>
          <w:tcPr>
            <w:tcW w:w="1048" w:type="dxa"/>
            <w:vMerge/>
          </w:tcPr>
          <w:p w:rsidR="00553284" w:rsidRPr="00C24994" w:rsidRDefault="00553284" w:rsidP="007A68B3">
            <w:pPr>
              <w:jc w:val="center"/>
            </w:pPr>
          </w:p>
        </w:tc>
        <w:tc>
          <w:tcPr>
            <w:tcW w:w="2209" w:type="dxa"/>
          </w:tcPr>
          <w:p w:rsidR="00553284" w:rsidRDefault="00750901" w:rsidP="007A68B3">
            <w:pPr>
              <w:jc w:val="center"/>
            </w:pPr>
            <w:r>
              <w:t xml:space="preserve">- </w:t>
            </w:r>
            <w:r w:rsidR="00553284">
              <w:t xml:space="preserve">Plan published in FC </w:t>
            </w:r>
            <w:r w:rsidR="00553284">
              <w:lastRenderedPageBreak/>
              <w:t xml:space="preserve">and EPA  websites </w:t>
            </w:r>
          </w:p>
          <w:p w:rsidR="00553284" w:rsidRPr="00C24994" w:rsidRDefault="00553284" w:rsidP="007A68B3">
            <w:pPr>
              <w:jc w:val="center"/>
            </w:pPr>
            <w:r>
              <w:t xml:space="preserve">- Radio announcement of Plan summary </w:t>
            </w:r>
          </w:p>
        </w:tc>
        <w:tc>
          <w:tcPr>
            <w:tcW w:w="3601" w:type="dxa"/>
            <w:gridSpan w:val="2"/>
          </w:tcPr>
          <w:p w:rsidR="00553284" w:rsidRDefault="00D32527" w:rsidP="00805814">
            <w:pPr>
              <w:jc w:val="center"/>
            </w:pPr>
            <w:r w:rsidRPr="00D32527">
              <w:lastRenderedPageBreak/>
              <w:t xml:space="preserve">Communication of the Plan at the </w:t>
            </w:r>
            <w:r w:rsidRPr="00D32527">
              <w:lastRenderedPageBreak/>
              <w:t xml:space="preserve">local level will be coordinated with the </w:t>
            </w:r>
            <w:r w:rsidR="00805814">
              <w:t>C&amp;P Working Group</w:t>
            </w:r>
          </w:p>
        </w:tc>
      </w:tr>
      <w:tr w:rsidR="004835C0" w:rsidTr="000F1B59">
        <w:trPr>
          <w:trHeight w:val="305"/>
        </w:trPr>
        <w:tc>
          <w:tcPr>
            <w:tcW w:w="828" w:type="dxa"/>
          </w:tcPr>
          <w:p w:rsidR="00553284" w:rsidRDefault="009D4CF5" w:rsidP="00750901">
            <w:pPr>
              <w:jc w:val="center"/>
              <w:rPr>
                <w:b/>
              </w:rPr>
            </w:pPr>
            <w:r>
              <w:rPr>
                <w:b/>
              </w:rPr>
              <w:lastRenderedPageBreak/>
              <w:t>2.</w:t>
            </w:r>
            <w:r w:rsidR="00750901">
              <w:rPr>
                <w:b/>
              </w:rPr>
              <w:t>4</w:t>
            </w:r>
          </w:p>
        </w:tc>
        <w:tc>
          <w:tcPr>
            <w:tcW w:w="3420" w:type="dxa"/>
          </w:tcPr>
          <w:p w:rsidR="00553284" w:rsidRPr="00872321" w:rsidRDefault="00553284" w:rsidP="007A68B3">
            <w:pPr>
              <w:rPr>
                <w:b/>
              </w:rPr>
            </w:pPr>
            <w:r w:rsidRPr="00872321">
              <w:rPr>
                <w:b/>
              </w:rPr>
              <w:t>Scoping of Key E&amp;S issues</w:t>
            </w:r>
          </w:p>
        </w:tc>
        <w:tc>
          <w:tcPr>
            <w:tcW w:w="2070" w:type="dxa"/>
          </w:tcPr>
          <w:p w:rsidR="00553284" w:rsidRDefault="00553284" w:rsidP="007A68B3">
            <w:pPr>
              <w:jc w:val="center"/>
              <w:rPr>
                <w:b/>
              </w:rPr>
            </w:pPr>
          </w:p>
        </w:tc>
        <w:tc>
          <w:tcPr>
            <w:tcW w:w="1048" w:type="dxa"/>
          </w:tcPr>
          <w:p w:rsidR="00553284" w:rsidRDefault="00553284" w:rsidP="007A68B3">
            <w:pPr>
              <w:jc w:val="center"/>
              <w:rPr>
                <w:b/>
              </w:rPr>
            </w:pPr>
          </w:p>
        </w:tc>
        <w:tc>
          <w:tcPr>
            <w:tcW w:w="2209" w:type="dxa"/>
          </w:tcPr>
          <w:p w:rsidR="00553284" w:rsidRDefault="00553284" w:rsidP="007A68B3">
            <w:pPr>
              <w:jc w:val="center"/>
              <w:rPr>
                <w:b/>
              </w:rPr>
            </w:pPr>
          </w:p>
        </w:tc>
        <w:tc>
          <w:tcPr>
            <w:tcW w:w="3601" w:type="dxa"/>
            <w:gridSpan w:val="2"/>
          </w:tcPr>
          <w:p w:rsidR="00553284" w:rsidRDefault="00553284" w:rsidP="007A68B3">
            <w:pPr>
              <w:jc w:val="center"/>
              <w:rPr>
                <w:b/>
              </w:rPr>
            </w:pPr>
          </w:p>
        </w:tc>
      </w:tr>
      <w:tr w:rsidR="004835C0" w:rsidTr="000F1B59">
        <w:tc>
          <w:tcPr>
            <w:tcW w:w="828" w:type="dxa"/>
          </w:tcPr>
          <w:p w:rsidR="00553284" w:rsidRDefault="009D4CF5" w:rsidP="00750901">
            <w:pPr>
              <w:jc w:val="center"/>
              <w:rPr>
                <w:b/>
              </w:rPr>
            </w:pPr>
            <w:r>
              <w:rPr>
                <w:b/>
              </w:rPr>
              <w:t>2.</w:t>
            </w:r>
            <w:r w:rsidR="00750901">
              <w:rPr>
                <w:b/>
              </w:rPr>
              <w:t>4</w:t>
            </w:r>
            <w:r>
              <w:rPr>
                <w:b/>
              </w:rPr>
              <w:t>.1</w:t>
            </w:r>
          </w:p>
        </w:tc>
        <w:tc>
          <w:tcPr>
            <w:tcW w:w="3420" w:type="dxa"/>
          </w:tcPr>
          <w:p w:rsidR="00553284" w:rsidRDefault="00553284" w:rsidP="007A68B3">
            <w:r w:rsidRPr="00872321">
              <w:t>Gathering</w:t>
            </w:r>
            <w:r>
              <w:t xml:space="preserve"> and technical validation of available spatial data on </w:t>
            </w:r>
          </w:p>
          <w:p w:rsidR="00553284" w:rsidRDefault="00553284" w:rsidP="007A68B3">
            <w:r>
              <w:t>- environment and,</w:t>
            </w:r>
          </w:p>
          <w:p w:rsidR="00553284" w:rsidRPr="00872321" w:rsidRDefault="00553284" w:rsidP="007A68B3">
            <w:r>
              <w:t>- social issues</w:t>
            </w:r>
          </w:p>
        </w:tc>
        <w:tc>
          <w:tcPr>
            <w:tcW w:w="2070" w:type="dxa"/>
            <w:vMerge w:val="restart"/>
          </w:tcPr>
          <w:p w:rsidR="00553284" w:rsidRPr="00AE2A33" w:rsidRDefault="00553284" w:rsidP="00EF6A64">
            <w:pPr>
              <w:jc w:val="center"/>
            </w:pPr>
            <w:r>
              <w:t>Consultant / FC/ EPA</w:t>
            </w:r>
          </w:p>
        </w:tc>
        <w:tc>
          <w:tcPr>
            <w:tcW w:w="1048" w:type="dxa"/>
            <w:vMerge w:val="restart"/>
          </w:tcPr>
          <w:p w:rsidR="00553284" w:rsidRPr="003E1E79" w:rsidRDefault="00553284" w:rsidP="007A68B3">
            <w:pPr>
              <w:jc w:val="center"/>
            </w:pPr>
            <w:r w:rsidRPr="003E1E79">
              <w:t>Months 10 -16</w:t>
            </w:r>
          </w:p>
        </w:tc>
        <w:tc>
          <w:tcPr>
            <w:tcW w:w="2209" w:type="dxa"/>
          </w:tcPr>
          <w:p w:rsidR="00553284" w:rsidRPr="003E1E79" w:rsidRDefault="00553284" w:rsidP="007A68B3">
            <w:pPr>
              <w:jc w:val="center"/>
            </w:pPr>
            <w:r w:rsidRPr="003E1E79">
              <w:t>Progress report</w:t>
            </w:r>
          </w:p>
        </w:tc>
        <w:tc>
          <w:tcPr>
            <w:tcW w:w="3601" w:type="dxa"/>
            <w:gridSpan w:val="2"/>
          </w:tcPr>
          <w:p w:rsidR="00553284" w:rsidRDefault="00553284" w:rsidP="007A68B3">
            <w:pPr>
              <w:jc w:val="center"/>
            </w:pPr>
          </w:p>
        </w:tc>
      </w:tr>
      <w:tr w:rsidR="004835C0" w:rsidTr="000F1B59">
        <w:tc>
          <w:tcPr>
            <w:tcW w:w="828" w:type="dxa"/>
          </w:tcPr>
          <w:p w:rsidR="00553284" w:rsidRDefault="00EA11E8" w:rsidP="00750901">
            <w:pPr>
              <w:jc w:val="center"/>
              <w:rPr>
                <w:b/>
              </w:rPr>
            </w:pPr>
            <w:r>
              <w:rPr>
                <w:b/>
              </w:rPr>
              <w:t>2.</w:t>
            </w:r>
            <w:r w:rsidR="00750901">
              <w:rPr>
                <w:b/>
              </w:rPr>
              <w:t>4</w:t>
            </w:r>
            <w:r>
              <w:rPr>
                <w:b/>
              </w:rPr>
              <w:t>.2</w:t>
            </w:r>
          </w:p>
        </w:tc>
        <w:tc>
          <w:tcPr>
            <w:tcW w:w="3420" w:type="dxa"/>
          </w:tcPr>
          <w:p w:rsidR="00553284" w:rsidRDefault="00553284" w:rsidP="007A68B3">
            <w:r>
              <w:t>Spatial mapping</w:t>
            </w:r>
            <w:r w:rsidR="007C2602">
              <w:t>, including community based participatory mapping,</w:t>
            </w:r>
            <w:r>
              <w:t xml:space="preserve"> of </w:t>
            </w:r>
          </w:p>
          <w:p w:rsidR="00553284" w:rsidRDefault="00E0107E" w:rsidP="007A68B3">
            <w:r>
              <w:t>- forest, biodiversity hot</w:t>
            </w:r>
            <w:r w:rsidR="00553284">
              <w:t xml:space="preserve">spots, river basins, main infrastructure projects </w:t>
            </w:r>
          </w:p>
          <w:p w:rsidR="009D4CF5" w:rsidRDefault="00553284" w:rsidP="007A68B3">
            <w:r>
              <w:t>- forest dependent communities, activities undertaken in forest areas, use and access rights to forest and land</w:t>
            </w:r>
          </w:p>
        </w:tc>
        <w:tc>
          <w:tcPr>
            <w:tcW w:w="2070" w:type="dxa"/>
            <w:vMerge/>
          </w:tcPr>
          <w:p w:rsidR="00553284" w:rsidRDefault="00553284" w:rsidP="007A68B3">
            <w:pPr>
              <w:jc w:val="center"/>
              <w:rPr>
                <w:b/>
              </w:rPr>
            </w:pPr>
          </w:p>
        </w:tc>
        <w:tc>
          <w:tcPr>
            <w:tcW w:w="1048" w:type="dxa"/>
            <w:vMerge/>
          </w:tcPr>
          <w:p w:rsidR="00553284" w:rsidRPr="003E1E79" w:rsidRDefault="00553284" w:rsidP="007A68B3">
            <w:pPr>
              <w:jc w:val="center"/>
            </w:pPr>
          </w:p>
        </w:tc>
        <w:tc>
          <w:tcPr>
            <w:tcW w:w="2209" w:type="dxa"/>
          </w:tcPr>
          <w:p w:rsidR="00553284" w:rsidRPr="003E1E79" w:rsidRDefault="00553284" w:rsidP="007A68B3">
            <w:pPr>
              <w:jc w:val="center"/>
            </w:pPr>
            <w:r w:rsidRPr="003E1E79">
              <w:t>A GIS</w:t>
            </w:r>
            <w:r>
              <w:t xml:space="preserve"> data base and progress report that includes maps</w:t>
            </w:r>
            <w:r w:rsidR="00052B84">
              <w:t>, case studies</w:t>
            </w:r>
            <w:r>
              <w:t xml:space="preserve"> and key environmental and social issues</w:t>
            </w:r>
          </w:p>
        </w:tc>
        <w:tc>
          <w:tcPr>
            <w:tcW w:w="3601" w:type="dxa"/>
            <w:gridSpan w:val="2"/>
          </w:tcPr>
          <w:p w:rsidR="00553284" w:rsidRDefault="00553284" w:rsidP="007A68B3">
            <w:pPr>
              <w:jc w:val="center"/>
            </w:pPr>
            <w:r>
              <w:t>- Key intersection point with preparation of reference scenario</w:t>
            </w:r>
          </w:p>
          <w:p w:rsidR="00580EA0" w:rsidRDefault="00580EA0" w:rsidP="007A68B3">
            <w:pPr>
              <w:jc w:val="center"/>
            </w:pPr>
          </w:p>
          <w:p w:rsidR="00553284" w:rsidRDefault="00553284" w:rsidP="007A68B3">
            <w:pPr>
              <w:jc w:val="center"/>
            </w:pPr>
            <w:r>
              <w:t xml:space="preserve">- </w:t>
            </w:r>
            <w:r w:rsidR="00580EA0">
              <w:t xml:space="preserve">Draw on the update of forest cover and inventory undertaken with </w:t>
            </w:r>
            <w:r w:rsidR="00750901">
              <w:t>Japanese (</w:t>
            </w:r>
            <w:r w:rsidR="00580EA0">
              <w:t>JICA</w:t>
            </w:r>
            <w:r w:rsidR="00750901">
              <w:t>)</w:t>
            </w:r>
            <w:r w:rsidR="00580EA0">
              <w:t xml:space="preserve"> support</w:t>
            </w:r>
          </w:p>
          <w:p w:rsidR="00750901" w:rsidRDefault="00750901">
            <w:pPr>
              <w:jc w:val="center"/>
            </w:pPr>
          </w:p>
        </w:tc>
      </w:tr>
      <w:tr w:rsidR="00580EA0" w:rsidTr="000F1B59">
        <w:tc>
          <w:tcPr>
            <w:tcW w:w="828" w:type="dxa"/>
          </w:tcPr>
          <w:p w:rsidR="00580EA0" w:rsidRDefault="00EA11E8" w:rsidP="00750901">
            <w:pPr>
              <w:jc w:val="center"/>
              <w:rPr>
                <w:b/>
              </w:rPr>
            </w:pPr>
            <w:r>
              <w:rPr>
                <w:b/>
              </w:rPr>
              <w:t>2.</w:t>
            </w:r>
            <w:r w:rsidR="00750901">
              <w:rPr>
                <w:b/>
              </w:rPr>
              <w:t>4</w:t>
            </w:r>
            <w:r>
              <w:rPr>
                <w:b/>
              </w:rPr>
              <w:t>.3</w:t>
            </w:r>
          </w:p>
        </w:tc>
        <w:tc>
          <w:tcPr>
            <w:tcW w:w="3420" w:type="dxa"/>
          </w:tcPr>
          <w:p w:rsidR="00580EA0" w:rsidRDefault="00580EA0" w:rsidP="007A68B3">
            <w:r>
              <w:t>Case and valuation studies in selected forest areas</w:t>
            </w:r>
          </w:p>
        </w:tc>
        <w:tc>
          <w:tcPr>
            <w:tcW w:w="2070" w:type="dxa"/>
            <w:vMerge/>
          </w:tcPr>
          <w:p w:rsidR="00580EA0" w:rsidRDefault="00580EA0" w:rsidP="007A68B3">
            <w:pPr>
              <w:jc w:val="center"/>
              <w:rPr>
                <w:b/>
              </w:rPr>
            </w:pPr>
          </w:p>
        </w:tc>
        <w:tc>
          <w:tcPr>
            <w:tcW w:w="1048" w:type="dxa"/>
            <w:vMerge/>
          </w:tcPr>
          <w:p w:rsidR="00580EA0" w:rsidRPr="003E1E79" w:rsidRDefault="00580EA0" w:rsidP="007A68B3">
            <w:pPr>
              <w:jc w:val="center"/>
            </w:pPr>
          </w:p>
        </w:tc>
        <w:tc>
          <w:tcPr>
            <w:tcW w:w="2209" w:type="dxa"/>
          </w:tcPr>
          <w:p w:rsidR="00580EA0" w:rsidRPr="003E1E79" w:rsidRDefault="00580EA0" w:rsidP="007A68B3">
            <w:pPr>
              <w:jc w:val="center"/>
            </w:pPr>
            <w:r>
              <w:t>Case studies reports</w:t>
            </w:r>
          </w:p>
        </w:tc>
        <w:tc>
          <w:tcPr>
            <w:tcW w:w="3601" w:type="dxa"/>
            <w:gridSpan w:val="2"/>
          </w:tcPr>
          <w:p w:rsidR="00580EA0" w:rsidRDefault="00580EA0" w:rsidP="007A68B3">
            <w:pPr>
              <w:jc w:val="center"/>
            </w:pPr>
          </w:p>
        </w:tc>
      </w:tr>
      <w:tr w:rsidR="004835C0" w:rsidTr="000F1B59">
        <w:tc>
          <w:tcPr>
            <w:tcW w:w="828" w:type="dxa"/>
          </w:tcPr>
          <w:p w:rsidR="00553284" w:rsidRDefault="00EA11E8" w:rsidP="00750901">
            <w:pPr>
              <w:jc w:val="center"/>
              <w:rPr>
                <w:b/>
              </w:rPr>
            </w:pPr>
            <w:r>
              <w:rPr>
                <w:b/>
              </w:rPr>
              <w:t>2.</w:t>
            </w:r>
            <w:r w:rsidR="00750901">
              <w:rPr>
                <w:b/>
              </w:rPr>
              <w:t>4</w:t>
            </w:r>
            <w:r>
              <w:rPr>
                <w:b/>
              </w:rPr>
              <w:t>.4</w:t>
            </w:r>
          </w:p>
        </w:tc>
        <w:tc>
          <w:tcPr>
            <w:tcW w:w="3420" w:type="dxa"/>
          </w:tcPr>
          <w:p w:rsidR="00553284" w:rsidRDefault="00553284" w:rsidP="007A68B3">
            <w:r>
              <w:t>Report on key environmental and social issues</w:t>
            </w:r>
          </w:p>
        </w:tc>
        <w:tc>
          <w:tcPr>
            <w:tcW w:w="2070" w:type="dxa"/>
            <w:vMerge/>
          </w:tcPr>
          <w:p w:rsidR="00553284" w:rsidRDefault="00553284" w:rsidP="007A68B3">
            <w:pPr>
              <w:jc w:val="center"/>
              <w:rPr>
                <w:b/>
              </w:rPr>
            </w:pPr>
          </w:p>
        </w:tc>
        <w:tc>
          <w:tcPr>
            <w:tcW w:w="1048" w:type="dxa"/>
            <w:vMerge/>
          </w:tcPr>
          <w:p w:rsidR="00553284" w:rsidRDefault="00553284" w:rsidP="007A68B3">
            <w:pPr>
              <w:jc w:val="center"/>
              <w:rPr>
                <w:b/>
              </w:rPr>
            </w:pPr>
          </w:p>
        </w:tc>
        <w:tc>
          <w:tcPr>
            <w:tcW w:w="2209" w:type="dxa"/>
          </w:tcPr>
          <w:p w:rsidR="00553284" w:rsidRPr="00F156B4" w:rsidRDefault="00553284" w:rsidP="007A68B3">
            <w:pPr>
              <w:jc w:val="center"/>
            </w:pPr>
            <w:r>
              <w:t>Report submitted</w:t>
            </w:r>
          </w:p>
        </w:tc>
        <w:tc>
          <w:tcPr>
            <w:tcW w:w="3601" w:type="dxa"/>
            <w:gridSpan w:val="2"/>
          </w:tcPr>
          <w:p w:rsidR="00553284" w:rsidRDefault="00553284" w:rsidP="007A68B3">
            <w:pPr>
              <w:jc w:val="center"/>
            </w:pPr>
          </w:p>
        </w:tc>
      </w:tr>
      <w:tr w:rsidR="004835C0" w:rsidTr="000F1B59">
        <w:tc>
          <w:tcPr>
            <w:tcW w:w="828" w:type="dxa"/>
          </w:tcPr>
          <w:p w:rsidR="00553284" w:rsidRDefault="00EA11E8" w:rsidP="00750901">
            <w:pPr>
              <w:jc w:val="center"/>
              <w:rPr>
                <w:b/>
              </w:rPr>
            </w:pPr>
            <w:r>
              <w:rPr>
                <w:b/>
              </w:rPr>
              <w:t>2.</w:t>
            </w:r>
            <w:r w:rsidR="00750901">
              <w:rPr>
                <w:b/>
              </w:rPr>
              <w:t>5</w:t>
            </w:r>
          </w:p>
        </w:tc>
        <w:tc>
          <w:tcPr>
            <w:tcW w:w="3420" w:type="dxa"/>
          </w:tcPr>
          <w:p w:rsidR="00553284" w:rsidRDefault="00553284" w:rsidP="007A68B3">
            <w:pPr>
              <w:rPr>
                <w:b/>
              </w:rPr>
            </w:pPr>
            <w:r>
              <w:rPr>
                <w:b/>
              </w:rPr>
              <w:t>Prioritization of E&amp;S issues</w:t>
            </w:r>
          </w:p>
        </w:tc>
        <w:tc>
          <w:tcPr>
            <w:tcW w:w="2070" w:type="dxa"/>
          </w:tcPr>
          <w:p w:rsidR="00553284" w:rsidRDefault="00553284" w:rsidP="007A68B3">
            <w:pPr>
              <w:jc w:val="center"/>
              <w:rPr>
                <w:b/>
              </w:rPr>
            </w:pPr>
          </w:p>
        </w:tc>
        <w:tc>
          <w:tcPr>
            <w:tcW w:w="1048" w:type="dxa"/>
          </w:tcPr>
          <w:p w:rsidR="00553284" w:rsidRDefault="00553284" w:rsidP="007A68B3">
            <w:pPr>
              <w:jc w:val="center"/>
              <w:rPr>
                <w:b/>
              </w:rPr>
            </w:pPr>
          </w:p>
        </w:tc>
        <w:tc>
          <w:tcPr>
            <w:tcW w:w="2209" w:type="dxa"/>
          </w:tcPr>
          <w:p w:rsidR="00553284" w:rsidRDefault="00553284" w:rsidP="007A68B3">
            <w:pPr>
              <w:jc w:val="center"/>
              <w:rPr>
                <w:b/>
              </w:rPr>
            </w:pPr>
          </w:p>
        </w:tc>
        <w:tc>
          <w:tcPr>
            <w:tcW w:w="3601" w:type="dxa"/>
            <w:gridSpan w:val="2"/>
          </w:tcPr>
          <w:p w:rsidR="00553284" w:rsidRDefault="00553284" w:rsidP="007A68B3">
            <w:pPr>
              <w:jc w:val="center"/>
              <w:rPr>
                <w:b/>
              </w:rPr>
            </w:pPr>
          </w:p>
        </w:tc>
      </w:tr>
      <w:tr w:rsidR="009D4CF5" w:rsidTr="000F1B59">
        <w:tc>
          <w:tcPr>
            <w:tcW w:w="828" w:type="dxa"/>
          </w:tcPr>
          <w:p w:rsidR="00553284" w:rsidRDefault="00EA11E8" w:rsidP="00750901">
            <w:pPr>
              <w:jc w:val="center"/>
              <w:rPr>
                <w:b/>
              </w:rPr>
            </w:pPr>
            <w:r>
              <w:rPr>
                <w:b/>
              </w:rPr>
              <w:t>2.</w:t>
            </w:r>
            <w:r w:rsidR="00750901">
              <w:rPr>
                <w:b/>
              </w:rPr>
              <w:t>5</w:t>
            </w:r>
            <w:r>
              <w:rPr>
                <w:b/>
              </w:rPr>
              <w:t>.1</w:t>
            </w:r>
          </w:p>
        </w:tc>
        <w:tc>
          <w:tcPr>
            <w:tcW w:w="3420" w:type="dxa"/>
          </w:tcPr>
          <w:p w:rsidR="00553284" w:rsidRPr="003B05ED" w:rsidRDefault="00553284" w:rsidP="007A68B3">
            <w:r w:rsidRPr="003B05ED">
              <w:t>Re</w:t>
            </w:r>
            <w:r>
              <w:t>view and prioritization by selected communities in critical areas</w:t>
            </w:r>
          </w:p>
        </w:tc>
        <w:tc>
          <w:tcPr>
            <w:tcW w:w="2070" w:type="dxa"/>
            <w:vMerge w:val="restart"/>
          </w:tcPr>
          <w:p w:rsidR="00553284" w:rsidRPr="00464166" w:rsidRDefault="00553284" w:rsidP="00EF6A64">
            <w:pPr>
              <w:jc w:val="center"/>
            </w:pPr>
            <w:r w:rsidRPr="00464166">
              <w:t>C</w:t>
            </w:r>
            <w:r>
              <w:t>onsultant / FC/EPA</w:t>
            </w:r>
          </w:p>
        </w:tc>
        <w:tc>
          <w:tcPr>
            <w:tcW w:w="1048" w:type="dxa"/>
          </w:tcPr>
          <w:p w:rsidR="00553284" w:rsidRPr="00464166" w:rsidRDefault="00553284" w:rsidP="007A68B3">
            <w:pPr>
              <w:jc w:val="center"/>
            </w:pPr>
            <w:r w:rsidRPr="00464166">
              <w:t xml:space="preserve">Months17 </w:t>
            </w:r>
            <w:r>
              <w:t>–</w:t>
            </w:r>
            <w:r w:rsidRPr="00464166">
              <w:t xml:space="preserve"> 19 </w:t>
            </w:r>
          </w:p>
        </w:tc>
        <w:tc>
          <w:tcPr>
            <w:tcW w:w="2209" w:type="dxa"/>
          </w:tcPr>
          <w:p w:rsidR="00553284" w:rsidRPr="00464166" w:rsidRDefault="00553284" w:rsidP="007A68B3">
            <w:pPr>
              <w:jc w:val="center"/>
            </w:pPr>
            <w:r w:rsidRPr="00464166">
              <w:t xml:space="preserve">Community consultation report </w:t>
            </w:r>
          </w:p>
        </w:tc>
        <w:tc>
          <w:tcPr>
            <w:tcW w:w="1359" w:type="dxa"/>
          </w:tcPr>
          <w:p w:rsidR="00553284" w:rsidRPr="00464166" w:rsidRDefault="00553284" w:rsidP="007A68B3">
            <w:pPr>
              <w:jc w:val="center"/>
            </w:pPr>
          </w:p>
        </w:tc>
        <w:tc>
          <w:tcPr>
            <w:tcW w:w="2242" w:type="dxa"/>
            <w:vMerge w:val="restart"/>
          </w:tcPr>
          <w:p w:rsidR="00553284" w:rsidRPr="00464166" w:rsidRDefault="00553284" w:rsidP="007A68B3">
            <w:pPr>
              <w:jc w:val="center"/>
            </w:pPr>
            <w:r>
              <w:t>- Key intersection point to coordinate consultations with the REDD+ strategy options</w:t>
            </w:r>
          </w:p>
        </w:tc>
      </w:tr>
      <w:tr w:rsidR="009D4CF5" w:rsidTr="000F1B59">
        <w:tc>
          <w:tcPr>
            <w:tcW w:w="828" w:type="dxa"/>
          </w:tcPr>
          <w:p w:rsidR="00553284" w:rsidRDefault="00EA11E8" w:rsidP="00750901">
            <w:pPr>
              <w:jc w:val="center"/>
              <w:rPr>
                <w:b/>
              </w:rPr>
            </w:pPr>
            <w:r>
              <w:rPr>
                <w:b/>
              </w:rPr>
              <w:t>2.</w:t>
            </w:r>
            <w:r w:rsidR="00750901">
              <w:rPr>
                <w:b/>
              </w:rPr>
              <w:t>5</w:t>
            </w:r>
            <w:r>
              <w:rPr>
                <w:b/>
              </w:rPr>
              <w:t>.2</w:t>
            </w:r>
          </w:p>
        </w:tc>
        <w:tc>
          <w:tcPr>
            <w:tcW w:w="3420" w:type="dxa"/>
          </w:tcPr>
          <w:p w:rsidR="00553284" w:rsidRPr="003B05ED" w:rsidRDefault="00553284" w:rsidP="007A68B3">
            <w:r>
              <w:t xml:space="preserve">Regional validation by community representatives </w:t>
            </w:r>
          </w:p>
        </w:tc>
        <w:tc>
          <w:tcPr>
            <w:tcW w:w="2070" w:type="dxa"/>
            <w:vMerge/>
          </w:tcPr>
          <w:p w:rsidR="00553284" w:rsidRPr="00464166" w:rsidRDefault="00553284" w:rsidP="007A68B3">
            <w:pPr>
              <w:jc w:val="center"/>
            </w:pPr>
          </w:p>
        </w:tc>
        <w:tc>
          <w:tcPr>
            <w:tcW w:w="1048" w:type="dxa"/>
          </w:tcPr>
          <w:p w:rsidR="00553284" w:rsidRPr="00464166" w:rsidRDefault="00553284" w:rsidP="007A68B3">
            <w:pPr>
              <w:jc w:val="center"/>
            </w:pPr>
            <w:r>
              <w:t>Month 20</w:t>
            </w:r>
          </w:p>
        </w:tc>
        <w:tc>
          <w:tcPr>
            <w:tcW w:w="2209" w:type="dxa"/>
          </w:tcPr>
          <w:p w:rsidR="00553284" w:rsidRPr="00464166" w:rsidRDefault="00553284" w:rsidP="007A68B3">
            <w:pPr>
              <w:jc w:val="center"/>
            </w:pPr>
            <w:r>
              <w:t>Regional validation report</w:t>
            </w:r>
          </w:p>
        </w:tc>
        <w:tc>
          <w:tcPr>
            <w:tcW w:w="1359" w:type="dxa"/>
          </w:tcPr>
          <w:p w:rsidR="00553284" w:rsidRPr="00464166" w:rsidRDefault="00553284" w:rsidP="007A68B3">
            <w:pPr>
              <w:jc w:val="center"/>
            </w:pPr>
            <w:r>
              <w:t>Likely to be workshops</w:t>
            </w:r>
          </w:p>
        </w:tc>
        <w:tc>
          <w:tcPr>
            <w:tcW w:w="2242" w:type="dxa"/>
            <w:vMerge/>
          </w:tcPr>
          <w:p w:rsidR="00553284" w:rsidRPr="00464166" w:rsidRDefault="00553284" w:rsidP="007A68B3">
            <w:pPr>
              <w:jc w:val="center"/>
            </w:pPr>
          </w:p>
        </w:tc>
      </w:tr>
      <w:tr w:rsidR="009D4CF5" w:rsidTr="000F1B59">
        <w:tc>
          <w:tcPr>
            <w:tcW w:w="828" w:type="dxa"/>
          </w:tcPr>
          <w:p w:rsidR="00553284" w:rsidRDefault="00EA11E8" w:rsidP="00750901">
            <w:pPr>
              <w:jc w:val="center"/>
              <w:rPr>
                <w:b/>
              </w:rPr>
            </w:pPr>
            <w:r>
              <w:rPr>
                <w:b/>
              </w:rPr>
              <w:t>2.</w:t>
            </w:r>
            <w:r w:rsidR="00750901">
              <w:rPr>
                <w:b/>
              </w:rPr>
              <w:t>5</w:t>
            </w:r>
            <w:r>
              <w:rPr>
                <w:b/>
              </w:rPr>
              <w:t>.3</w:t>
            </w:r>
          </w:p>
        </w:tc>
        <w:tc>
          <w:tcPr>
            <w:tcW w:w="3420" w:type="dxa"/>
          </w:tcPr>
          <w:p w:rsidR="00553284" w:rsidRDefault="00553284" w:rsidP="007A68B3">
            <w:pPr>
              <w:rPr>
                <w:b/>
              </w:rPr>
            </w:pPr>
            <w:r w:rsidRPr="003B05ED">
              <w:t>Re</w:t>
            </w:r>
            <w:r>
              <w:t>view and prioritization by institutional stakeholders</w:t>
            </w:r>
          </w:p>
        </w:tc>
        <w:tc>
          <w:tcPr>
            <w:tcW w:w="2070" w:type="dxa"/>
            <w:vMerge/>
          </w:tcPr>
          <w:p w:rsidR="00553284" w:rsidRPr="00464166" w:rsidRDefault="00553284" w:rsidP="007A68B3">
            <w:pPr>
              <w:jc w:val="center"/>
            </w:pPr>
          </w:p>
        </w:tc>
        <w:tc>
          <w:tcPr>
            <w:tcW w:w="1048" w:type="dxa"/>
            <w:vMerge w:val="restart"/>
          </w:tcPr>
          <w:p w:rsidR="00553284" w:rsidRPr="00464166" w:rsidRDefault="00553284" w:rsidP="007A68B3">
            <w:pPr>
              <w:jc w:val="center"/>
            </w:pPr>
            <w:r>
              <w:t>Months 21-22</w:t>
            </w:r>
          </w:p>
        </w:tc>
        <w:tc>
          <w:tcPr>
            <w:tcW w:w="2209" w:type="dxa"/>
          </w:tcPr>
          <w:p w:rsidR="00553284" w:rsidRPr="00464166" w:rsidRDefault="00553284" w:rsidP="007A68B3">
            <w:pPr>
              <w:jc w:val="center"/>
            </w:pPr>
            <w:r>
              <w:t>Institutional consultation report</w:t>
            </w:r>
          </w:p>
        </w:tc>
        <w:tc>
          <w:tcPr>
            <w:tcW w:w="1359" w:type="dxa"/>
          </w:tcPr>
          <w:p w:rsidR="00553284" w:rsidRPr="00464166" w:rsidRDefault="00553284" w:rsidP="007A68B3">
            <w:pPr>
              <w:jc w:val="center"/>
            </w:pPr>
            <w:r>
              <w:t>Likely to be focus groups</w:t>
            </w:r>
          </w:p>
        </w:tc>
        <w:tc>
          <w:tcPr>
            <w:tcW w:w="2242" w:type="dxa"/>
            <w:vMerge/>
          </w:tcPr>
          <w:p w:rsidR="00553284" w:rsidRPr="00464166" w:rsidRDefault="00553284" w:rsidP="007A68B3">
            <w:pPr>
              <w:jc w:val="center"/>
            </w:pPr>
          </w:p>
        </w:tc>
      </w:tr>
      <w:tr w:rsidR="009D4CF5" w:rsidTr="000F1B59">
        <w:tc>
          <w:tcPr>
            <w:tcW w:w="828" w:type="dxa"/>
          </w:tcPr>
          <w:p w:rsidR="00553284" w:rsidRDefault="00EA11E8" w:rsidP="00750901">
            <w:pPr>
              <w:jc w:val="center"/>
              <w:rPr>
                <w:b/>
              </w:rPr>
            </w:pPr>
            <w:r>
              <w:rPr>
                <w:b/>
              </w:rPr>
              <w:t>2.</w:t>
            </w:r>
            <w:r w:rsidR="00750901">
              <w:rPr>
                <w:b/>
              </w:rPr>
              <w:t>5</w:t>
            </w:r>
            <w:r>
              <w:rPr>
                <w:b/>
              </w:rPr>
              <w:t>.4</w:t>
            </w:r>
          </w:p>
        </w:tc>
        <w:tc>
          <w:tcPr>
            <w:tcW w:w="3420" w:type="dxa"/>
          </w:tcPr>
          <w:p w:rsidR="00553284" w:rsidRPr="003B05ED" w:rsidRDefault="00553284" w:rsidP="007A68B3">
            <w:r>
              <w:t>Institutional stakeholders workshop</w:t>
            </w:r>
          </w:p>
        </w:tc>
        <w:tc>
          <w:tcPr>
            <w:tcW w:w="2070" w:type="dxa"/>
            <w:vMerge/>
          </w:tcPr>
          <w:p w:rsidR="00553284" w:rsidRPr="00464166" w:rsidRDefault="00553284" w:rsidP="007A68B3">
            <w:pPr>
              <w:jc w:val="center"/>
            </w:pPr>
          </w:p>
        </w:tc>
        <w:tc>
          <w:tcPr>
            <w:tcW w:w="1048" w:type="dxa"/>
            <w:vMerge/>
          </w:tcPr>
          <w:p w:rsidR="00553284" w:rsidRDefault="00553284" w:rsidP="007A68B3">
            <w:pPr>
              <w:jc w:val="center"/>
            </w:pPr>
          </w:p>
        </w:tc>
        <w:tc>
          <w:tcPr>
            <w:tcW w:w="2209" w:type="dxa"/>
          </w:tcPr>
          <w:p w:rsidR="00553284" w:rsidRDefault="00553284" w:rsidP="007A68B3">
            <w:pPr>
              <w:jc w:val="center"/>
            </w:pPr>
            <w:r>
              <w:t>Institutional prioritization report</w:t>
            </w:r>
          </w:p>
        </w:tc>
        <w:tc>
          <w:tcPr>
            <w:tcW w:w="1359" w:type="dxa"/>
          </w:tcPr>
          <w:p w:rsidR="00553284" w:rsidRDefault="00553284" w:rsidP="007A68B3">
            <w:pPr>
              <w:jc w:val="center"/>
            </w:pPr>
          </w:p>
        </w:tc>
        <w:tc>
          <w:tcPr>
            <w:tcW w:w="2242" w:type="dxa"/>
            <w:vMerge/>
          </w:tcPr>
          <w:p w:rsidR="00553284" w:rsidRDefault="00553284" w:rsidP="007A68B3">
            <w:pPr>
              <w:jc w:val="center"/>
            </w:pPr>
          </w:p>
        </w:tc>
      </w:tr>
      <w:tr w:rsidR="009D4CF5" w:rsidTr="000F1B59">
        <w:tc>
          <w:tcPr>
            <w:tcW w:w="828" w:type="dxa"/>
          </w:tcPr>
          <w:p w:rsidR="00553284" w:rsidRDefault="00EA11E8" w:rsidP="00750901">
            <w:pPr>
              <w:jc w:val="center"/>
              <w:rPr>
                <w:b/>
              </w:rPr>
            </w:pPr>
            <w:r>
              <w:rPr>
                <w:b/>
              </w:rPr>
              <w:t>2.</w:t>
            </w:r>
            <w:r w:rsidR="00750901">
              <w:rPr>
                <w:b/>
              </w:rPr>
              <w:t>5.</w:t>
            </w:r>
            <w:r>
              <w:rPr>
                <w:b/>
              </w:rPr>
              <w:t>5</w:t>
            </w:r>
          </w:p>
        </w:tc>
        <w:tc>
          <w:tcPr>
            <w:tcW w:w="3420" w:type="dxa"/>
          </w:tcPr>
          <w:p w:rsidR="00553284" w:rsidRPr="003B05ED" w:rsidRDefault="00553284" w:rsidP="007A68B3">
            <w:r>
              <w:t>Report on E&amp;S priorities</w:t>
            </w:r>
          </w:p>
        </w:tc>
        <w:tc>
          <w:tcPr>
            <w:tcW w:w="2070" w:type="dxa"/>
          </w:tcPr>
          <w:p w:rsidR="00553284" w:rsidRPr="00464166" w:rsidRDefault="00553284" w:rsidP="007A68B3">
            <w:pPr>
              <w:jc w:val="center"/>
            </w:pPr>
            <w:r>
              <w:t>Consultant</w:t>
            </w:r>
          </w:p>
        </w:tc>
        <w:tc>
          <w:tcPr>
            <w:tcW w:w="1048" w:type="dxa"/>
          </w:tcPr>
          <w:p w:rsidR="00553284" w:rsidRPr="00464166" w:rsidRDefault="00553284" w:rsidP="007A68B3">
            <w:pPr>
              <w:jc w:val="center"/>
            </w:pPr>
            <w:r>
              <w:t>Month 23</w:t>
            </w:r>
          </w:p>
        </w:tc>
        <w:tc>
          <w:tcPr>
            <w:tcW w:w="2209" w:type="dxa"/>
          </w:tcPr>
          <w:p w:rsidR="00553284" w:rsidRPr="00464166" w:rsidRDefault="00553284" w:rsidP="007A68B3">
            <w:pPr>
              <w:jc w:val="center"/>
            </w:pPr>
            <w:r>
              <w:t>Prioritization report</w:t>
            </w:r>
          </w:p>
        </w:tc>
        <w:tc>
          <w:tcPr>
            <w:tcW w:w="1359" w:type="dxa"/>
          </w:tcPr>
          <w:p w:rsidR="00553284" w:rsidRPr="00464166" w:rsidRDefault="00553284" w:rsidP="007A68B3">
            <w:pPr>
              <w:jc w:val="center"/>
            </w:pPr>
          </w:p>
        </w:tc>
        <w:tc>
          <w:tcPr>
            <w:tcW w:w="2242" w:type="dxa"/>
            <w:vMerge/>
          </w:tcPr>
          <w:p w:rsidR="00553284" w:rsidRPr="00464166" w:rsidRDefault="00553284" w:rsidP="007A68B3">
            <w:pPr>
              <w:jc w:val="center"/>
            </w:pPr>
          </w:p>
        </w:tc>
      </w:tr>
      <w:tr w:rsidR="00154B33" w:rsidTr="00750901">
        <w:tc>
          <w:tcPr>
            <w:tcW w:w="13176" w:type="dxa"/>
            <w:gridSpan w:val="7"/>
          </w:tcPr>
          <w:p w:rsidR="00154B33" w:rsidRPr="00464166" w:rsidRDefault="00154B33" w:rsidP="007A68B3">
            <w:pPr>
              <w:jc w:val="center"/>
            </w:pPr>
          </w:p>
        </w:tc>
      </w:tr>
      <w:tr w:rsidR="004835C0" w:rsidTr="000F1B59">
        <w:tc>
          <w:tcPr>
            <w:tcW w:w="828" w:type="dxa"/>
          </w:tcPr>
          <w:p w:rsidR="00553284" w:rsidRDefault="003F102E" w:rsidP="007A68B3">
            <w:pPr>
              <w:jc w:val="center"/>
              <w:rPr>
                <w:b/>
              </w:rPr>
            </w:pPr>
            <w:r>
              <w:rPr>
                <w:b/>
              </w:rPr>
              <w:t>3</w:t>
            </w:r>
          </w:p>
        </w:tc>
        <w:tc>
          <w:tcPr>
            <w:tcW w:w="3420" w:type="dxa"/>
          </w:tcPr>
          <w:p w:rsidR="00553284" w:rsidRPr="00955ADB" w:rsidRDefault="00553284" w:rsidP="007A68B3">
            <w:pPr>
              <w:rPr>
                <w:rFonts w:ascii="Times New Roman Bold" w:hAnsi="Times New Roman Bold"/>
                <w:b/>
                <w:caps/>
              </w:rPr>
            </w:pPr>
            <w:r w:rsidRPr="00955ADB">
              <w:rPr>
                <w:rFonts w:ascii="Times New Roman Bold" w:hAnsi="Times New Roman Bold"/>
                <w:b/>
                <w:caps/>
              </w:rPr>
              <w:t>Assessment</w:t>
            </w:r>
          </w:p>
        </w:tc>
        <w:tc>
          <w:tcPr>
            <w:tcW w:w="2070" w:type="dxa"/>
          </w:tcPr>
          <w:p w:rsidR="00553284" w:rsidRPr="00464166" w:rsidRDefault="00553284" w:rsidP="007A68B3">
            <w:pPr>
              <w:jc w:val="center"/>
            </w:pPr>
          </w:p>
        </w:tc>
        <w:tc>
          <w:tcPr>
            <w:tcW w:w="1048" w:type="dxa"/>
          </w:tcPr>
          <w:p w:rsidR="00553284" w:rsidRPr="00464166" w:rsidRDefault="00553284" w:rsidP="007A68B3">
            <w:pPr>
              <w:jc w:val="center"/>
            </w:pPr>
          </w:p>
        </w:tc>
        <w:tc>
          <w:tcPr>
            <w:tcW w:w="2209" w:type="dxa"/>
          </w:tcPr>
          <w:p w:rsidR="00553284" w:rsidRPr="00464166" w:rsidRDefault="00553284" w:rsidP="007A68B3">
            <w:pPr>
              <w:jc w:val="center"/>
            </w:pPr>
          </w:p>
        </w:tc>
        <w:tc>
          <w:tcPr>
            <w:tcW w:w="3601" w:type="dxa"/>
            <w:gridSpan w:val="2"/>
          </w:tcPr>
          <w:p w:rsidR="00553284" w:rsidRPr="00464166" w:rsidRDefault="00553284" w:rsidP="007A68B3">
            <w:pPr>
              <w:jc w:val="center"/>
            </w:pPr>
          </w:p>
        </w:tc>
      </w:tr>
      <w:tr w:rsidR="004835C0" w:rsidRPr="00EA3907" w:rsidTr="000F1B59">
        <w:tc>
          <w:tcPr>
            <w:tcW w:w="828" w:type="dxa"/>
          </w:tcPr>
          <w:p w:rsidR="00553284" w:rsidRDefault="00154B33" w:rsidP="007A68B3">
            <w:pPr>
              <w:jc w:val="center"/>
              <w:rPr>
                <w:b/>
              </w:rPr>
            </w:pPr>
            <w:r>
              <w:rPr>
                <w:b/>
              </w:rPr>
              <w:t>3.1</w:t>
            </w:r>
          </w:p>
        </w:tc>
        <w:tc>
          <w:tcPr>
            <w:tcW w:w="3420" w:type="dxa"/>
          </w:tcPr>
          <w:p w:rsidR="00553284" w:rsidRPr="008757CE" w:rsidRDefault="00553284" w:rsidP="007A68B3">
            <w:r>
              <w:t xml:space="preserve">Analysis of REDD+ candidate </w:t>
            </w:r>
            <w:r>
              <w:lastRenderedPageBreak/>
              <w:t>strategy options vis-à-vis E&amp;S priorities</w:t>
            </w:r>
          </w:p>
        </w:tc>
        <w:tc>
          <w:tcPr>
            <w:tcW w:w="2070" w:type="dxa"/>
            <w:vMerge w:val="restart"/>
          </w:tcPr>
          <w:p w:rsidR="00553284" w:rsidRPr="00464166" w:rsidRDefault="00553284" w:rsidP="00EF6A64">
            <w:pPr>
              <w:jc w:val="center"/>
            </w:pPr>
            <w:r>
              <w:lastRenderedPageBreak/>
              <w:t xml:space="preserve">Consultant / </w:t>
            </w:r>
            <w:r>
              <w:lastRenderedPageBreak/>
              <w:t>FC/EPA</w:t>
            </w:r>
          </w:p>
        </w:tc>
        <w:tc>
          <w:tcPr>
            <w:tcW w:w="1048" w:type="dxa"/>
            <w:vMerge w:val="restart"/>
          </w:tcPr>
          <w:p w:rsidR="00553284" w:rsidRPr="00464166" w:rsidRDefault="00553284" w:rsidP="007A68B3">
            <w:pPr>
              <w:jc w:val="center"/>
            </w:pPr>
            <w:r>
              <w:lastRenderedPageBreak/>
              <w:t xml:space="preserve">Months </w:t>
            </w:r>
            <w:r>
              <w:lastRenderedPageBreak/>
              <w:t>24 and 25</w:t>
            </w:r>
          </w:p>
        </w:tc>
        <w:tc>
          <w:tcPr>
            <w:tcW w:w="2209" w:type="dxa"/>
            <w:vMerge w:val="restart"/>
          </w:tcPr>
          <w:p w:rsidR="00553284" w:rsidRPr="00464166" w:rsidRDefault="00553284" w:rsidP="007A68B3">
            <w:pPr>
              <w:jc w:val="center"/>
            </w:pPr>
            <w:r>
              <w:lastRenderedPageBreak/>
              <w:t>Progress report</w:t>
            </w:r>
          </w:p>
        </w:tc>
        <w:tc>
          <w:tcPr>
            <w:tcW w:w="3601" w:type="dxa"/>
            <w:gridSpan w:val="2"/>
          </w:tcPr>
          <w:p w:rsidR="00553284" w:rsidRPr="00EA3907" w:rsidRDefault="00553284" w:rsidP="007A68B3">
            <w:pPr>
              <w:jc w:val="center"/>
            </w:pPr>
          </w:p>
        </w:tc>
      </w:tr>
      <w:tr w:rsidR="004835C0" w:rsidRPr="00EA3907" w:rsidTr="000F1B59">
        <w:tc>
          <w:tcPr>
            <w:tcW w:w="828" w:type="dxa"/>
          </w:tcPr>
          <w:p w:rsidR="00553284" w:rsidRDefault="00154B33" w:rsidP="007A68B3">
            <w:pPr>
              <w:jc w:val="center"/>
              <w:rPr>
                <w:b/>
              </w:rPr>
            </w:pPr>
            <w:r>
              <w:rPr>
                <w:b/>
              </w:rPr>
              <w:lastRenderedPageBreak/>
              <w:t>3.</w:t>
            </w:r>
            <w:r w:rsidR="00553284">
              <w:rPr>
                <w:b/>
              </w:rPr>
              <w:t>2</w:t>
            </w:r>
          </w:p>
        </w:tc>
        <w:tc>
          <w:tcPr>
            <w:tcW w:w="3420" w:type="dxa"/>
          </w:tcPr>
          <w:p w:rsidR="00553284" w:rsidRPr="008757CE" w:rsidRDefault="00553284" w:rsidP="007A68B3">
            <w:r>
              <w:t>Refinement of REDD+ candidate strategy options</w:t>
            </w:r>
          </w:p>
        </w:tc>
        <w:tc>
          <w:tcPr>
            <w:tcW w:w="2070" w:type="dxa"/>
            <w:vMerge/>
          </w:tcPr>
          <w:p w:rsidR="00553284" w:rsidRDefault="00553284" w:rsidP="007A68B3">
            <w:pPr>
              <w:jc w:val="center"/>
              <w:rPr>
                <w:b/>
              </w:rPr>
            </w:pPr>
          </w:p>
        </w:tc>
        <w:tc>
          <w:tcPr>
            <w:tcW w:w="1048" w:type="dxa"/>
            <w:vMerge/>
          </w:tcPr>
          <w:p w:rsidR="00553284" w:rsidRDefault="00553284" w:rsidP="007A68B3">
            <w:pPr>
              <w:jc w:val="center"/>
              <w:rPr>
                <w:b/>
              </w:rPr>
            </w:pPr>
          </w:p>
        </w:tc>
        <w:tc>
          <w:tcPr>
            <w:tcW w:w="2209" w:type="dxa"/>
            <w:vMerge/>
          </w:tcPr>
          <w:p w:rsidR="00553284" w:rsidRDefault="00553284" w:rsidP="007A68B3">
            <w:pPr>
              <w:jc w:val="center"/>
              <w:rPr>
                <w:b/>
              </w:rPr>
            </w:pPr>
          </w:p>
        </w:tc>
        <w:tc>
          <w:tcPr>
            <w:tcW w:w="3601" w:type="dxa"/>
            <w:gridSpan w:val="2"/>
          </w:tcPr>
          <w:p w:rsidR="00553284" w:rsidRPr="00EA3907" w:rsidRDefault="00553284" w:rsidP="007A68B3">
            <w:pPr>
              <w:jc w:val="center"/>
            </w:pPr>
            <w:r>
              <w:t>SESA consultants coordinate with REDD+ strategy consultants</w:t>
            </w:r>
          </w:p>
        </w:tc>
      </w:tr>
      <w:tr w:rsidR="004835C0" w:rsidRPr="00EA3907" w:rsidTr="000F1B59">
        <w:tc>
          <w:tcPr>
            <w:tcW w:w="828" w:type="dxa"/>
          </w:tcPr>
          <w:p w:rsidR="00553284" w:rsidRDefault="00154B33" w:rsidP="007A68B3">
            <w:pPr>
              <w:jc w:val="center"/>
              <w:rPr>
                <w:b/>
              </w:rPr>
            </w:pPr>
            <w:r>
              <w:rPr>
                <w:b/>
              </w:rPr>
              <w:t>3.3</w:t>
            </w:r>
          </w:p>
        </w:tc>
        <w:tc>
          <w:tcPr>
            <w:tcW w:w="3420" w:type="dxa"/>
          </w:tcPr>
          <w:p w:rsidR="00553284" w:rsidRPr="008757CE" w:rsidRDefault="00553284" w:rsidP="007A68B3">
            <w:r w:rsidRPr="008757CE">
              <w:t>Assess</w:t>
            </w:r>
            <w:r>
              <w:t xml:space="preserve">ment of other E&amp;S risks associated with refined candidate strategy options  </w:t>
            </w:r>
          </w:p>
        </w:tc>
        <w:tc>
          <w:tcPr>
            <w:tcW w:w="2070" w:type="dxa"/>
            <w:vMerge/>
          </w:tcPr>
          <w:p w:rsidR="00553284" w:rsidRDefault="00553284" w:rsidP="007A68B3">
            <w:pPr>
              <w:jc w:val="center"/>
              <w:rPr>
                <w:b/>
              </w:rPr>
            </w:pPr>
          </w:p>
        </w:tc>
        <w:tc>
          <w:tcPr>
            <w:tcW w:w="1048" w:type="dxa"/>
            <w:vMerge/>
          </w:tcPr>
          <w:p w:rsidR="00553284" w:rsidRDefault="00553284" w:rsidP="007A68B3">
            <w:pPr>
              <w:jc w:val="center"/>
              <w:rPr>
                <w:b/>
              </w:rPr>
            </w:pPr>
          </w:p>
        </w:tc>
        <w:tc>
          <w:tcPr>
            <w:tcW w:w="2209" w:type="dxa"/>
            <w:vMerge/>
          </w:tcPr>
          <w:p w:rsidR="00553284" w:rsidRDefault="00553284" w:rsidP="007A68B3">
            <w:pPr>
              <w:jc w:val="center"/>
              <w:rPr>
                <w:b/>
              </w:rPr>
            </w:pPr>
          </w:p>
        </w:tc>
        <w:tc>
          <w:tcPr>
            <w:tcW w:w="3601" w:type="dxa"/>
            <w:gridSpan w:val="2"/>
          </w:tcPr>
          <w:p w:rsidR="00553284" w:rsidRPr="00EA3907" w:rsidRDefault="00553284" w:rsidP="007A68B3">
            <w:pPr>
              <w:jc w:val="center"/>
            </w:pPr>
          </w:p>
        </w:tc>
      </w:tr>
      <w:tr w:rsidR="004835C0" w:rsidRPr="00EA3907" w:rsidTr="000F1B59">
        <w:tc>
          <w:tcPr>
            <w:tcW w:w="828" w:type="dxa"/>
          </w:tcPr>
          <w:p w:rsidR="00553284" w:rsidRDefault="00154B33" w:rsidP="007A68B3">
            <w:pPr>
              <w:jc w:val="center"/>
              <w:rPr>
                <w:b/>
              </w:rPr>
            </w:pPr>
            <w:r>
              <w:rPr>
                <w:b/>
              </w:rPr>
              <w:t>3.4</w:t>
            </w:r>
          </w:p>
        </w:tc>
        <w:tc>
          <w:tcPr>
            <w:tcW w:w="3420" w:type="dxa"/>
          </w:tcPr>
          <w:p w:rsidR="00553284" w:rsidRPr="008757CE" w:rsidRDefault="00553284" w:rsidP="007A68B3">
            <w:r>
              <w:t>Report on candidate REDD+ strategy options</w:t>
            </w:r>
          </w:p>
        </w:tc>
        <w:tc>
          <w:tcPr>
            <w:tcW w:w="2070" w:type="dxa"/>
            <w:vMerge w:val="restart"/>
          </w:tcPr>
          <w:p w:rsidR="00553284" w:rsidRPr="00EA3907" w:rsidRDefault="00553284" w:rsidP="007A68B3">
            <w:pPr>
              <w:jc w:val="center"/>
            </w:pPr>
            <w:r w:rsidRPr="00EA3907">
              <w:t>Consultant of REDD+ Strategy</w:t>
            </w:r>
          </w:p>
        </w:tc>
        <w:tc>
          <w:tcPr>
            <w:tcW w:w="1048" w:type="dxa"/>
            <w:vMerge w:val="restart"/>
          </w:tcPr>
          <w:p w:rsidR="00553284" w:rsidRPr="00EA3907" w:rsidRDefault="00553284" w:rsidP="007A68B3">
            <w:pPr>
              <w:jc w:val="center"/>
            </w:pPr>
            <w:r w:rsidRPr="00EA3907">
              <w:t>Month 26</w:t>
            </w:r>
            <w:r>
              <w:t xml:space="preserve"> – 27</w:t>
            </w:r>
          </w:p>
        </w:tc>
        <w:tc>
          <w:tcPr>
            <w:tcW w:w="2209" w:type="dxa"/>
            <w:vMerge w:val="restart"/>
          </w:tcPr>
          <w:p w:rsidR="00553284" w:rsidRPr="00EA3907" w:rsidRDefault="00553284" w:rsidP="007A68B3">
            <w:pPr>
              <w:jc w:val="center"/>
            </w:pPr>
            <w:r>
              <w:t>REDD+ Strategy options</w:t>
            </w:r>
          </w:p>
        </w:tc>
        <w:tc>
          <w:tcPr>
            <w:tcW w:w="3601" w:type="dxa"/>
            <w:gridSpan w:val="2"/>
            <w:vMerge w:val="restart"/>
          </w:tcPr>
          <w:p w:rsidR="00553284" w:rsidRPr="00EA3907" w:rsidRDefault="00553284" w:rsidP="007A68B3">
            <w:pPr>
              <w:jc w:val="center"/>
            </w:pPr>
            <w:r>
              <w:t>- Report and consultation to be carried out by REDD+ strategy consultants</w:t>
            </w:r>
          </w:p>
        </w:tc>
      </w:tr>
      <w:tr w:rsidR="004835C0" w:rsidTr="000F1B59">
        <w:tc>
          <w:tcPr>
            <w:tcW w:w="828" w:type="dxa"/>
          </w:tcPr>
          <w:p w:rsidR="00553284" w:rsidRDefault="00154B33" w:rsidP="007A68B3">
            <w:pPr>
              <w:jc w:val="center"/>
              <w:rPr>
                <w:b/>
              </w:rPr>
            </w:pPr>
            <w:r>
              <w:rPr>
                <w:b/>
              </w:rPr>
              <w:t>3.5</w:t>
            </w:r>
          </w:p>
        </w:tc>
        <w:tc>
          <w:tcPr>
            <w:tcW w:w="3420" w:type="dxa"/>
          </w:tcPr>
          <w:p w:rsidR="00553284" w:rsidRPr="008757CE" w:rsidRDefault="00553284" w:rsidP="007A68B3">
            <w:r>
              <w:t>Stakeholder validation of REDD+ strategy options</w:t>
            </w:r>
          </w:p>
        </w:tc>
        <w:tc>
          <w:tcPr>
            <w:tcW w:w="2070" w:type="dxa"/>
            <w:vMerge/>
          </w:tcPr>
          <w:p w:rsidR="00553284" w:rsidRPr="00EA3907" w:rsidRDefault="00553284" w:rsidP="007A68B3">
            <w:pPr>
              <w:jc w:val="center"/>
            </w:pPr>
          </w:p>
        </w:tc>
        <w:tc>
          <w:tcPr>
            <w:tcW w:w="1048" w:type="dxa"/>
            <w:vMerge/>
          </w:tcPr>
          <w:p w:rsidR="00553284" w:rsidRPr="00EA3907" w:rsidRDefault="00553284" w:rsidP="007A68B3">
            <w:pPr>
              <w:jc w:val="center"/>
            </w:pPr>
          </w:p>
        </w:tc>
        <w:tc>
          <w:tcPr>
            <w:tcW w:w="2209" w:type="dxa"/>
            <w:vMerge/>
          </w:tcPr>
          <w:p w:rsidR="00553284" w:rsidRPr="00EA3907" w:rsidRDefault="00553284" w:rsidP="007A68B3">
            <w:pPr>
              <w:jc w:val="center"/>
            </w:pPr>
          </w:p>
        </w:tc>
        <w:tc>
          <w:tcPr>
            <w:tcW w:w="3601" w:type="dxa"/>
            <w:gridSpan w:val="2"/>
            <w:vMerge/>
          </w:tcPr>
          <w:p w:rsidR="00553284" w:rsidRPr="00EA3907" w:rsidRDefault="00553284" w:rsidP="007A68B3">
            <w:pPr>
              <w:jc w:val="center"/>
            </w:pPr>
          </w:p>
        </w:tc>
      </w:tr>
      <w:tr w:rsidR="00154B33" w:rsidTr="00750901">
        <w:tc>
          <w:tcPr>
            <w:tcW w:w="13176" w:type="dxa"/>
            <w:gridSpan w:val="7"/>
          </w:tcPr>
          <w:p w:rsidR="00154B33" w:rsidRPr="00EA3907" w:rsidRDefault="00154B33" w:rsidP="007A68B3">
            <w:pPr>
              <w:jc w:val="center"/>
            </w:pPr>
          </w:p>
        </w:tc>
      </w:tr>
      <w:tr w:rsidR="004835C0" w:rsidTr="000F1B59">
        <w:tc>
          <w:tcPr>
            <w:tcW w:w="828" w:type="dxa"/>
          </w:tcPr>
          <w:p w:rsidR="00553284" w:rsidRDefault="00154B33" w:rsidP="007A68B3">
            <w:pPr>
              <w:jc w:val="center"/>
              <w:rPr>
                <w:b/>
              </w:rPr>
            </w:pPr>
            <w:r>
              <w:rPr>
                <w:b/>
              </w:rPr>
              <w:t>4</w:t>
            </w:r>
          </w:p>
        </w:tc>
        <w:tc>
          <w:tcPr>
            <w:tcW w:w="3420" w:type="dxa"/>
          </w:tcPr>
          <w:p w:rsidR="00750901" w:rsidRPr="00955ADB" w:rsidRDefault="00154B33">
            <w:pPr>
              <w:rPr>
                <w:rFonts w:ascii="Times New Roman Bold" w:hAnsi="Times New Roman Bold"/>
                <w:b/>
                <w:caps/>
              </w:rPr>
            </w:pPr>
            <w:r w:rsidRPr="00955ADB">
              <w:rPr>
                <w:rFonts w:ascii="Times New Roman Bold" w:hAnsi="Times New Roman Bold"/>
                <w:b/>
                <w:caps/>
              </w:rPr>
              <w:t xml:space="preserve">Reporting </w:t>
            </w:r>
          </w:p>
        </w:tc>
        <w:tc>
          <w:tcPr>
            <w:tcW w:w="2070" w:type="dxa"/>
          </w:tcPr>
          <w:p w:rsidR="00553284" w:rsidRPr="00EA3907" w:rsidRDefault="00553284" w:rsidP="007A68B3">
            <w:pPr>
              <w:jc w:val="center"/>
            </w:pPr>
          </w:p>
        </w:tc>
        <w:tc>
          <w:tcPr>
            <w:tcW w:w="1048" w:type="dxa"/>
          </w:tcPr>
          <w:p w:rsidR="00553284" w:rsidRPr="00EA3907" w:rsidRDefault="00553284" w:rsidP="007A68B3">
            <w:pPr>
              <w:jc w:val="center"/>
            </w:pPr>
          </w:p>
        </w:tc>
        <w:tc>
          <w:tcPr>
            <w:tcW w:w="2209" w:type="dxa"/>
          </w:tcPr>
          <w:p w:rsidR="00553284" w:rsidRPr="00EA3907" w:rsidRDefault="00553284" w:rsidP="007A68B3">
            <w:pPr>
              <w:jc w:val="center"/>
            </w:pPr>
          </w:p>
        </w:tc>
        <w:tc>
          <w:tcPr>
            <w:tcW w:w="3601" w:type="dxa"/>
            <w:gridSpan w:val="2"/>
          </w:tcPr>
          <w:p w:rsidR="00553284" w:rsidRPr="00EA3907" w:rsidRDefault="00553284" w:rsidP="007A68B3">
            <w:pPr>
              <w:jc w:val="center"/>
            </w:pPr>
          </w:p>
        </w:tc>
      </w:tr>
      <w:tr w:rsidR="004835C0" w:rsidTr="000F1B59">
        <w:tc>
          <w:tcPr>
            <w:tcW w:w="828" w:type="dxa"/>
          </w:tcPr>
          <w:p w:rsidR="00553284" w:rsidRDefault="00154B33" w:rsidP="007A68B3">
            <w:pPr>
              <w:jc w:val="center"/>
              <w:rPr>
                <w:b/>
              </w:rPr>
            </w:pPr>
            <w:r>
              <w:rPr>
                <w:b/>
              </w:rPr>
              <w:t>4.1</w:t>
            </w:r>
          </w:p>
        </w:tc>
        <w:tc>
          <w:tcPr>
            <w:tcW w:w="3420" w:type="dxa"/>
          </w:tcPr>
          <w:p w:rsidR="00553284" w:rsidRPr="008757CE" w:rsidRDefault="00553284" w:rsidP="007A68B3">
            <w:r>
              <w:t>WB Safeguards Policies Triggered R-PP level</w:t>
            </w:r>
          </w:p>
        </w:tc>
        <w:tc>
          <w:tcPr>
            <w:tcW w:w="2070" w:type="dxa"/>
          </w:tcPr>
          <w:p w:rsidR="00553284" w:rsidRPr="00EA3907" w:rsidRDefault="00553284" w:rsidP="007A68B3">
            <w:pPr>
              <w:jc w:val="center"/>
            </w:pPr>
            <w:r>
              <w:t>WB</w:t>
            </w:r>
          </w:p>
        </w:tc>
        <w:tc>
          <w:tcPr>
            <w:tcW w:w="1048" w:type="dxa"/>
          </w:tcPr>
          <w:p w:rsidR="00553284" w:rsidRPr="00EA3907" w:rsidRDefault="00553284" w:rsidP="007A68B3">
            <w:pPr>
              <w:jc w:val="center"/>
            </w:pPr>
            <w:r>
              <w:t>Month 0</w:t>
            </w:r>
          </w:p>
        </w:tc>
        <w:tc>
          <w:tcPr>
            <w:tcW w:w="2209" w:type="dxa"/>
          </w:tcPr>
          <w:p w:rsidR="00553284" w:rsidRPr="00EA3907" w:rsidRDefault="00357EB7" w:rsidP="007A68B3">
            <w:pPr>
              <w:jc w:val="center"/>
            </w:pPr>
            <w:r>
              <w:t>Updated Integrated Safeguards Data Sheet (ISDS)</w:t>
            </w:r>
          </w:p>
        </w:tc>
        <w:tc>
          <w:tcPr>
            <w:tcW w:w="3601" w:type="dxa"/>
            <w:gridSpan w:val="2"/>
          </w:tcPr>
          <w:p w:rsidR="00553284" w:rsidRPr="00EA3907" w:rsidRDefault="00553284" w:rsidP="007A68B3">
            <w:pPr>
              <w:jc w:val="center"/>
            </w:pPr>
          </w:p>
        </w:tc>
      </w:tr>
      <w:tr w:rsidR="004835C0" w:rsidTr="000F1B59">
        <w:tc>
          <w:tcPr>
            <w:tcW w:w="828" w:type="dxa"/>
          </w:tcPr>
          <w:p w:rsidR="00553284" w:rsidRDefault="00154B33" w:rsidP="007A68B3">
            <w:pPr>
              <w:jc w:val="center"/>
              <w:rPr>
                <w:b/>
              </w:rPr>
            </w:pPr>
            <w:r>
              <w:rPr>
                <w:b/>
              </w:rPr>
              <w:t>4.2</w:t>
            </w:r>
          </w:p>
        </w:tc>
        <w:tc>
          <w:tcPr>
            <w:tcW w:w="3420" w:type="dxa"/>
          </w:tcPr>
          <w:p w:rsidR="00553284" w:rsidRPr="008757CE" w:rsidRDefault="00835970" w:rsidP="007A68B3">
            <w:r>
              <w:t xml:space="preserve">Preparation and disclosure of </w:t>
            </w:r>
            <w:r w:rsidR="00E204E0">
              <w:t>ToR</w:t>
            </w:r>
            <w:r w:rsidR="00553284">
              <w:t xml:space="preserve"> </w:t>
            </w:r>
            <w:r w:rsidR="00154B33">
              <w:t xml:space="preserve">for </w:t>
            </w:r>
            <w:r w:rsidR="00101053" w:rsidRPr="00101053">
              <w:t>Environmental and Social Management Framework</w:t>
            </w:r>
            <w:r>
              <w:t xml:space="preserve"> (ESMF)</w:t>
            </w:r>
          </w:p>
        </w:tc>
        <w:tc>
          <w:tcPr>
            <w:tcW w:w="2070" w:type="dxa"/>
          </w:tcPr>
          <w:p w:rsidR="00553284" w:rsidRPr="00EA3907" w:rsidRDefault="00553284" w:rsidP="00EF6A64">
            <w:pPr>
              <w:jc w:val="center"/>
            </w:pPr>
            <w:r>
              <w:t xml:space="preserve">EPA </w:t>
            </w:r>
            <w:r w:rsidR="00955ADB">
              <w:t>–</w:t>
            </w:r>
            <w:r>
              <w:t xml:space="preserve"> FC</w:t>
            </w:r>
          </w:p>
        </w:tc>
        <w:tc>
          <w:tcPr>
            <w:tcW w:w="1048" w:type="dxa"/>
          </w:tcPr>
          <w:p w:rsidR="00553284" w:rsidRPr="00EA3907" w:rsidRDefault="00553284" w:rsidP="007A68B3">
            <w:pPr>
              <w:jc w:val="center"/>
            </w:pPr>
            <w:r>
              <w:t>Month 16 -19</w:t>
            </w:r>
          </w:p>
        </w:tc>
        <w:tc>
          <w:tcPr>
            <w:tcW w:w="2209" w:type="dxa"/>
          </w:tcPr>
          <w:p w:rsidR="00553284" w:rsidRPr="00EA3907" w:rsidRDefault="00E204E0" w:rsidP="007A68B3">
            <w:pPr>
              <w:jc w:val="center"/>
            </w:pPr>
            <w:r>
              <w:t>ToR</w:t>
            </w:r>
          </w:p>
        </w:tc>
        <w:tc>
          <w:tcPr>
            <w:tcW w:w="3601" w:type="dxa"/>
            <w:gridSpan w:val="2"/>
          </w:tcPr>
          <w:p w:rsidR="00553284" w:rsidRPr="00EA3907" w:rsidRDefault="00553284" w:rsidP="007A68B3">
            <w:pPr>
              <w:jc w:val="center"/>
            </w:pPr>
          </w:p>
        </w:tc>
      </w:tr>
      <w:tr w:rsidR="00955ADB" w:rsidTr="000F1B59">
        <w:tc>
          <w:tcPr>
            <w:tcW w:w="828" w:type="dxa"/>
          </w:tcPr>
          <w:p w:rsidR="00955ADB" w:rsidDel="00154B33" w:rsidRDefault="00955ADB" w:rsidP="007A68B3">
            <w:pPr>
              <w:jc w:val="center"/>
              <w:rPr>
                <w:b/>
              </w:rPr>
            </w:pPr>
            <w:r>
              <w:rPr>
                <w:b/>
              </w:rPr>
              <w:t>4.3</w:t>
            </w:r>
          </w:p>
        </w:tc>
        <w:tc>
          <w:tcPr>
            <w:tcW w:w="3420" w:type="dxa"/>
          </w:tcPr>
          <w:p w:rsidR="00955ADB" w:rsidRPr="009D6B41" w:rsidRDefault="00955ADB" w:rsidP="00835970">
            <w:pPr>
              <w:rPr>
                <w:b/>
              </w:rPr>
            </w:pPr>
            <w:r w:rsidRPr="009D6B41">
              <w:rPr>
                <w:b/>
              </w:rPr>
              <w:t xml:space="preserve"> ESMF</w:t>
            </w:r>
          </w:p>
        </w:tc>
        <w:tc>
          <w:tcPr>
            <w:tcW w:w="2070" w:type="dxa"/>
          </w:tcPr>
          <w:p w:rsidR="00955ADB" w:rsidRDefault="00955ADB" w:rsidP="00EF6A64">
            <w:pPr>
              <w:jc w:val="center"/>
            </w:pPr>
          </w:p>
        </w:tc>
        <w:tc>
          <w:tcPr>
            <w:tcW w:w="1048" w:type="dxa"/>
          </w:tcPr>
          <w:p w:rsidR="00955ADB" w:rsidRDefault="00955ADB" w:rsidP="007A68B3">
            <w:pPr>
              <w:jc w:val="center"/>
            </w:pPr>
          </w:p>
        </w:tc>
        <w:tc>
          <w:tcPr>
            <w:tcW w:w="2209" w:type="dxa"/>
          </w:tcPr>
          <w:p w:rsidR="00955ADB" w:rsidRDefault="00955ADB" w:rsidP="007A68B3">
            <w:pPr>
              <w:jc w:val="center"/>
            </w:pPr>
          </w:p>
        </w:tc>
        <w:tc>
          <w:tcPr>
            <w:tcW w:w="3601" w:type="dxa"/>
            <w:gridSpan w:val="2"/>
          </w:tcPr>
          <w:p w:rsidR="00955ADB" w:rsidRPr="00EA3907" w:rsidRDefault="00955ADB" w:rsidP="007A68B3">
            <w:pPr>
              <w:jc w:val="center"/>
            </w:pPr>
          </w:p>
        </w:tc>
      </w:tr>
      <w:tr w:rsidR="004835C0" w:rsidTr="000F1B59">
        <w:tc>
          <w:tcPr>
            <w:tcW w:w="828" w:type="dxa"/>
          </w:tcPr>
          <w:p w:rsidR="00553284" w:rsidRDefault="00154B33" w:rsidP="007A68B3">
            <w:pPr>
              <w:jc w:val="center"/>
              <w:rPr>
                <w:b/>
              </w:rPr>
            </w:pPr>
            <w:r>
              <w:rPr>
                <w:b/>
              </w:rPr>
              <w:t>4.2.1</w:t>
            </w:r>
          </w:p>
        </w:tc>
        <w:tc>
          <w:tcPr>
            <w:tcW w:w="3420" w:type="dxa"/>
          </w:tcPr>
          <w:p w:rsidR="00553284" w:rsidRDefault="00553284" w:rsidP="007A68B3">
            <w:r>
              <w:t>Draft ESMF</w:t>
            </w:r>
          </w:p>
        </w:tc>
        <w:tc>
          <w:tcPr>
            <w:tcW w:w="2070" w:type="dxa"/>
          </w:tcPr>
          <w:p w:rsidR="00553284" w:rsidRDefault="00553284" w:rsidP="007A68B3">
            <w:pPr>
              <w:jc w:val="center"/>
            </w:pPr>
            <w:r>
              <w:t>Consultant</w:t>
            </w:r>
          </w:p>
        </w:tc>
        <w:tc>
          <w:tcPr>
            <w:tcW w:w="1048" w:type="dxa"/>
          </w:tcPr>
          <w:p w:rsidR="00553284" w:rsidRDefault="00553284" w:rsidP="007A68B3">
            <w:pPr>
              <w:jc w:val="center"/>
            </w:pPr>
            <w:r>
              <w:t>Month</w:t>
            </w:r>
            <w:r w:rsidR="000F1B59">
              <w:t>s</w:t>
            </w:r>
            <w:r>
              <w:t xml:space="preserve"> 20-26</w:t>
            </w:r>
          </w:p>
        </w:tc>
        <w:tc>
          <w:tcPr>
            <w:tcW w:w="2209" w:type="dxa"/>
          </w:tcPr>
          <w:p w:rsidR="00553284" w:rsidRDefault="00553284" w:rsidP="007A68B3">
            <w:pPr>
              <w:jc w:val="center"/>
            </w:pPr>
          </w:p>
        </w:tc>
        <w:tc>
          <w:tcPr>
            <w:tcW w:w="3601" w:type="dxa"/>
            <w:gridSpan w:val="2"/>
          </w:tcPr>
          <w:p w:rsidR="00553284" w:rsidRPr="00EA3907" w:rsidRDefault="00553284" w:rsidP="007A68B3">
            <w:pPr>
              <w:jc w:val="center"/>
            </w:pPr>
          </w:p>
        </w:tc>
      </w:tr>
      <w:tr w:rsidR="004835C0" w:rsidTr="000F1B59">
        <w:tc>
          <w:tcPr>
            <w:tcW w:w="828" w:type="dxa"/>
          </w:tcPr>
          <w:p w:rsidR="00553284" w:rsidRDefault="00154B33" w:rsidP="007A68B3">
            <w:pPr>
              <w:jc w:val="center"/>
              <w:rPr>
                <w:b/>
              </w:rPr>
            </w:pPr>
            <w:r>
              <w:rPr>
                <w:b/>
              </w:rPr>
              <w:t>4.2.2</w:t>
            </w:r>
          </w:p>
        </w:tc>
        <w:tc>
          <w:tcPr>
            <w:tcW w:w="3420" w:type="dxa"/>
          </w:tcPr>
          <w:p w:rsidR="00553284" w:rsidRDefault="00553284" w:rsidP="007A68B3">
            <w:r>
              <w:t>Consultation of Initial Draft ESMF</w:t>
            </w:r>
          </w:p>
        </w:tc>
        <w:tc>
          <w:tcPr>
            <w:tcW w:w="2070" w:type="dxa"/>
          </w:tcPr>
          <w:p w:rsidR="00553284" w:rsidRDefault="00553284" w:rsidP="007A68B3">
            <w:pPr>
              <w:jc w:val="center"/>
            </w:pPr>
            <w:r>
              <w:t>Consultant</w:t>
            </w:r>
          </w:p>
        </w:tc>
        <w:tc>
          <w:tcPr>
            <w:tcW w:w="1048" w:type="dxa"/>
          </w:tcPr>
          <w:p w:rsidR="00553284" w:rsidRDefault="00553284" w:rsidP="007A68B3">
            <w:pPr>
              <w:jc w:val="center"/>
            </w:pPr>
            <w:r>
              <w:t>Month</w:t>
            </w:r>
            <w:r w:rsidR="000F1B59">
              <w:t>s</w:t>
            </w:r>
            <w:r>
              <w:t xml:space="preserve"> 27-29</w:t>
            </w:r>
          </w:p>
        </w:tc>
        <w:tc>
          <w:tcPr>
            <w:tcW w:w="2209" w:type="dxa"/>
          </w:tcPr>
          <w:p w:rsidR="00553284" w:rsidRDefault="00553284" w:rsidP="007A68B3">
            <w:pPr>
              <w:jc w:val="center"/>
            </w:pPr>
            <w:r>
              <w:t xml:space="preserve"> Draft ESMF report and consultation report</w:t>
            </w:r>
          </w:p>
        </w:tc>
        <w:tc>
          <w:tcPr>
            <w:tcW w:w="3601" w:type="dxa"/>
            <w:gridSpan w:val="2"/>
          </w:tcPr>
          <w:p w:rsidR="00553284" w:rsidRDefault="00553284" w:rsidP="006C3777">
            <w:pPr>
              <w:jc w:val="center"/>
            </w:pPr>
            <w:r>
              <w:t xml:space="preserve">- </w:t>
            </w:r>
            <w:r w:rsidR="009D6B41">
              <w:t>C</w:t>
            </w:r>
            <w:r>
              <w:t>oordinate with consultations to</w:t>
            </w:r>
            <w:r w:rsidR="006C3777">
              <w:t xml:space="preserve"> validate final REDD+ Strategy</w:t>
            </w:r>
          </w:p>
          <w:p w:rsidR="00553284" w:rsidRPr="00EA3907" w:rsidRDefault="00553284" w:rsidP="007A68B3">
            <w:pPr>
              <w:jc w:val="center"/>
            </w:pPr>
            <w:r>
              <w:t xml:space="preserve">- Includes consultation with </w:t>
            </w:r>
            <w:r w:rsidR="00835970">
              <w:t xml:space="preserve">selected local </w:t>
            </w:r>
            <w:r>
              <w:t>forests communities and at the regional and national levels</w:t>
            </w:r>
          </w:p>
        </w:tc>
      </w:tr>
      <w:tr w:rsidR="004835C0" w:rsidTr="000F1B59">
        <w:tc>
          <w:tcPr>
            <w:tcW w:w="828" w:type="dxa"/>
          </w:tcPr>
          <w:p w:rsidR="00553284" w:rsidRDefault="00154B33" w:rsidP="007A68B3">
            <w:pPr>
              <w:jc w:val="center"/>
              <w:rPr>
                <w:b/>
              </w:rPr>
            </w:pPr>
            <w:r>
              <w:rPr>
                <w:b/>
              </w:rPr>
              <w:t>4.3</w:t>
            </w:r>
          </w:p>
        </w:tc>
        <w:tc>
          <w:tcPr>
            <w:tcW w:w="3420" w:type="dxa"/>
          </w:tcPr>
          <w:p w:rsidR="00553284" w:rsidRDefault="00553284" w:rsidP="007A68B3">
            <w:r>
              <w:t>Final Draft ESMF</w:t>
            </w:r>
          </w:p>
        </w:tc>
        <w:tc>
          <w:tcPr>
            <w:tcW w:w="2070" w:type="dxa"/>
          </w:tcPr>
          <w:p w:rsidR="00553284" w:rsidRDefault="00553284" w:rsidP="007A68B3">
            <w:pPr>
              <w:jc w:val="center"/>
            </w:pPr>
            <w:r>
              <w:t>Consultant</w:t>
            </w:r>
          </w:p>
        </w:tc>
        <w:tc>
          <w:tcPr>
            <w:tcW w:w="1048" w:type="dxa"/>
          </w:tcPr>
          <w:p w:rsidR="00553284" w:rsidRDefault="00553284" w:rsidP="007A68B3">
            <w:pPr>
              <w:jc w:val="center"/>
            </w:pPr>
            <w:r>
              <w:t xml:space="preserve">Month 31 </w:t>
            </w:r>
          </w:p>
        </w:tc>
        <w:tc>
          <w:tcPr>
            <w:tcW w:w="2209" w:type="dxa"/>
          </w:tcPr>
          <w:p w:rsidR="00553284" w:rsidRDefault="00553284" w:rsidP="007A68B3">
            <w:pPr>
              <w:jc w:val="center"/>
            </w:pPr>
            <w:r>
              <w:t>Final draft ESMF</w:t>
            </w:r>
          </w:p>
        </w:tc>
        <w:tc>
          <w:tcPr>
            <w:tcW w:w="3601" w:type="dxa"/>
            <w:gridSpan w:val="2"/>
          </w:tcPr>
          <w:p w:rsidR="00553284" w:rsidRDefault="00553284" w:rsidP="007A68B3">
            <w:pPr>
              <w:jc w:val="center"/>
            </w:pPr>
            <w:r>
              <w:t xml:space="preserve">- Input to REDD+ </w:t>
            </w:r>
            <w:r w:rsidR="009D6B41">
              <w:t xml:space="preserve">Readiness </w:t>
            </w:r>
            <w:r>
              <w:t>Package</w:t>
            </w:r>
          </w:p>
        </w:tc>
      </w:tr>
      <w:tr w:rsidR="004835C0" w:rsidTr="000F1B59">
        <w:tc>
          <w:tcPr>
            <w:tcW w:w="828" w:type="dxa"/>
          </w:tcPr>
          <w:p w:rsidR="00553284" w:rsidRDefault="00AF20E4" w:rsidP="007A68B3">
            <w:pPr>
              <w:jc w:val="center"/>
              <w:rPr>
                <w:b/>
              </w:rPr>
            </w:pPr>
            <w:r>
              <w:rPr>
                <w:b/>
              </w:rPr>
              <w:t>4.3.1</w:t>
            </w:r>
          </w:p>
        </w:tc>
        <w:tc>
          <w:tcPr>
            <w:tcW w:w="3420" w:type="dxa"/>
          </w:tcPr>
          <w:p w:rsidR="00553284" w:rsidRDefault="00553284" w:rsidP="007A68B3">
            <w:r>
              <w:t>SESA report</w:t>
            </w:r>
          </w:p>
        </w:tc>
        <w:tc>
          <w:tcPr>
            <w:tcW w:w="2070" w:type="dxa"/>
          </w:tcPr>
          <w:p w:rsidR="00553284" w:rsidRDefault="00553284" w:rsidP="007A68B3">
            <w:pPr>
              <w:jc w:val="center"/>
            </w:pPr>
            <w:r>
              <w:t>Consultant</w:t>
            </w:r>
          </w:p>
        </w:tc>
        <w:tc>
          <w:tcPr>
            <w:tcW w:w="1048" w:type="dxa"/>
          </w:tcPr>
          <w:p w:rsidR="00553284" w:rsidRDefault="00553284" w:rsidP="007A68B3">
            <w:pPr>
              <w:jc w:val="center"/>
            </w:pPr>
            <w:r>
              <w:t>Months 32 -33</w:t>
            </w:r>
          </w:p>
        </w:tc>
        <w:tc>
          <w:tcPr>
            <w:tcW w:w="2209" w:type="dxa"/>
          </w:tcPr>
          <w:p w:rsidR="00553284" w:rsidRDefault="00553284" w:rsidP="007A68B3">
            <w:pPr>
              <w:jc w:val="center"/>
            </w:pPr>
            <w:r>
              <w:t>SESA Report</w:t>
            </w:r>
          </w:p>
        </w:tc>
        <w:tc>
          <w:tcPr>
            <w:tcW w:w="3601" w:type="dxa"/>
            <w:gridSpan w:val="2"/>
          </w:tcPr>
          <w:p w:rsidR="00553284" w:rsidRDefault="00835970" w:rsidP="007A68B3">
            <w:pPr>
              <w:jc w:val="center"/>
            </w:pPr>
            <w:r>
              <w:t>- Integrates all previous reports including Final Draft ESMF</w:t>
            </w:r>
          </w:p>
        </w:tc>
      </w:tr>
      <w:tr w:rsidR="004835C0" w:rsidTr="000F1B59">
        <w:tc>
          <w:tcPr>
            <w:tcW w:w="828" w:type="dxa"/>
          </w:tcPr>
          <w:p w:rsidR="00553284" w:rsidRDefault="00AF20E4" w:rsidP="007A68B3">
            <w:pPr>
              <w:jc w:val="center"/>
              <w:rPr>
                <w:b/>
              </w:rPr>
            </w:pPr>
            <w:r>
              <w:rPr>
                <w:b/>
              </w:rPr>
              <w:t>4.3.2</w:t>
            </w:r>
          </w:p>
        </w:tc>
        <w:tc>
          <w:tcPr>
            <w:tcW w:w="3420" w:type="dxa"/>
          </w:tcPr>
          <w:p w:rsidR="00553284" w:rsidRPr="008757CE" w:rsidRDefault="00553284" w:rsidP="007A68B3">
            <w:r>
              <w:t xml:space="preserve">Disclosure of ESMF </w:t>
            </w:r>
          </w:p>
        </w:tc>
        <w:tc>
          <w:tcPr>
            <w:tcW w:w="2070" w:type="dxa"/>
          </w:tcPr>
          <w:p w:rsidR="00553284" w:rsidRPr="00EA3907" w:rsidRDefault="00553284" w:rsidP="007A68B3">
            <w:pPr>
              <w:jc w:val="center"/>
            </w:pPr>
            <w:r>
              <w:t>EPA / Bank (Infoshop)</w:t>
            </w:r>
          </w:p>
        </w:tc>
        <w:tc>
          <w:tcPr>
            <w:tcW w:w="1048" w:type="dxa"/>
          </w:tcPr>
          <w:p w:rsidR="00553284" w:rsidRPr="00EA3907" w:rsidRDefault="00553284" w:rsidP="007A68B3">
            <w:pPr>
              <w:jc w:val="center"/>
            </w:pPr>
            <w:r>
              <w:t>Month 33</w:t>
            </w:r>
          </w:p>
        </w:tc>
        <w:tc>
          <w:tcPr>
            <w:tcW w:w="2209" w:type="dxa"/>
          </w:tcPr>
          <w:p w:rsidR="00553284" w:rsidRPr="00EA3907" w:rsidRDefault="00553284" w:rsidP="00835970">
            <w:pPr>
              <w:jc w:val="center"/>
            </w:pPr>
            <w:r>
              <w:t xml:space="preserve">Publication in </w:t>
            </w:r>
            <w:r w:rsidR="00835970">
              <w:t xml:space="preserve">relevant websites and </w:t>
            </w:r>
            <w:r>
              <w:t xml:space="preserve">FC and </w:t>
            </w:r>
            <w:r w:rsidR="00835970">
              <w:t>WB infoshops</w:t>
            </w:r>
          </w:p>
        </w:tc>
        <w:tc>
          <w:tcPr>
            <w:tcW w:w="3601" w:type="dxa"/>
            <w:gridSpan w:val="2"/>
          </w:tcPr>
          <w:p w:rsidR="00553284" w:rsidRPr="00EA3907" w:rsidRDefault="00553284" w:rsidP="00EF6A64">
            <w:pPr>
              <w:jc w:val="center"/>
            </w:pPr>
            <w:r>
              <w:t>Executive summaries sent to District Assemblies</w:t>
            </w:r>
          </w:p>
        </w:tc>
      </w:tr>
    </w:tbl>
    <w:p w:rsidR="007A68B3" w:rsidRDefault="007A68B3">
      <w:pPr>
        <w:ind w:right="-333"/>
      </w:pPr>
    </w:p>
    <w:p w:rsidR="000F1B59" w:rsidRDefault="000F1B59">
      <w:pPr>
        <w:ind w:right="-333"/>
        <w:sectPr w:rsidR="000F1B59" w:rsidSect="001A60ED">
          <w:pgSz w:w="15840" w:h="12240" w:orient="landscape"/>
          <w:pgMar w:top="1440" w:right="1440" w:bottom="1440" w:left="1440" w:header="720" w:footer="720" w:gutter="0"/>
          <w:cols w:space="720"/>
          <w:docGrid w:linePitch="360"/>
        </w:sectPr>
      </w:pPr>
    </w:p>
    <w:p w:rsidR="00750901" w:rsidRDefault="00101053">
      <w:pPr>
        <w:numPr>
          <w:ilvl w:val="0"/>
          <w:numId w:val="59"/>
        </w:numPr>
        <w:spacing w:before="100" w:beforeAutospacing="1" w:after="100" w:afterAutospacing="1" w:line="276" w:lineRule="auto"/>
        <w:rPr>
          <w:b/>
        </w:rPr>
      </w:pPr>
      <w:r w:rsidRPr="00842E94">
        <w:rPr>
          <w:b/>
        </w:rPr>
        <w:lastRenderedPageBreak/>
        <w:t xml:space="preserve">Composition of </w:t>
      </w:r>
      <w:r w:rsidR="008E124F">
        <w:rPr>
          <w:b/>
        </w:rPr>
        <w:t>SESA</w:t>
      </w:r>
      <w:r w:rsidRPr="00842E94">
        <w:rPr>
          <w:b/>
        </w:rPr>
        <w:t xml:space="preserve"> Team</w:t>
      </w:r>
      <w:r w:rsidR="00790D90" w:rsidRPr="00842E94">
        <w:rPr>
          <w:b/>
        </w:rPr>
        <w:t xml:space="preserve"> </w:t>
      </w:r>
    </w:p>
    <w:p w:rsidR="008E124F" w:rsidRDefault="008E124F" w:rsidP="00B5131D">
      <w:pPr>
        <w:pStyle w:val="ListParagraph"/>
        <w:spacing w:after="200" w:line="276" w:lineRule="auto"/>
        <w:ind w:left="0" w:right="-331"/>
        <w:contextualSpacing w:val="0"/>
        <w:jc w:val="both"/>
      </w:pPr>
      <w:r>
        <w:t xml:space="preserve">The SESA process will be undertaken by a consortium </w:t>
      </w:r>
      <w:r w:rsidR="00381BC0">
        <w:t xml:space="preserve">made up </w:t>
      </w:r>
      <w:r>
        <w:t xml:space="preserve">of </w:t>
      </w:r>
      <w:r w:rsidR="00381BC0">
        <w:t xml:space="preserve">members of </w:t>
      </w:r>
      <w:r>
        <w:t>an international consult</w:t>
      </w:r>
      <w:r w:rsidR="00381BC0">
        <w:t>ing</w:t>
      </w:r>
      <w:r>
        <w:t xml:space="preserve"> company and </w:t>
      </w:r>
      <w:r w:rsidR="00381BC0">
        <w:t xml:space="preserve">of </w:t>
      </w:r>
      <w:r>
        <w:t>a Ghanaian consult</w:t>
      </w:r>
      <w:r w:rsidR="00381BC0">
        <w:t>ing</w:t>
      </w:r>
      <w:r>
        <w:t xml:space="preserve"> company</w:t>
      </w:r>
      <w:r w:rsidR="00A4152C">
        <w:t xml:space="preserve"> or local NGO</w:t>
      </w:r>
      <w:r>
        <w:t xml:space="preserve">. The international company </w:t>
      </w:r>
      <w:r w:rsidR="00381BC0">
        <w:t xml:space="preserve">members </w:t>
      </w:r>
      <w:r>
        <w:t xml:space="preserve">should lead the SESA’s analytical work, have proven experience in applying World Bank safeguard policies and be responsible for the quality control of the whole SESA process. </w:t>
      </w:r>
      <w:r w:rsidR="00B5131D">
        <w:t xml:space="preserve">The local </w:t>
      </w:r>
      <w:r w:rsidR="00381BC0">
        <w:t xml:space="preserve">company members are </w:t>
      </w:r>
      <w:r w:rsidR="00B5131D">
        <w:t>expected to lead the consultation and public participation process and contribute to SESA’s analytical work.</w:t>
      </w:r>
    </w:p>
    <w:p w:rsidR="00AF0669" w:rsidRDefault="00B5131D" w:rsidP="00B5131D">
      <w:pPr>
        <w:pStyle w:val="ListParagraph"/>
        <w:spacing w:after="200" w:line="276" w:lineRule="auto"/>
        <w:ind w:left="0" w:right="-331"/>
        <w:contextualSpacing w:val="0"/>
        <w:jc w:val="both"/>
      </w:pPr>
      <w:r>
        <w:t xml:space="preserve">The minimal technical </w:t>
      </w:r>
      <w:r w:rsidR="00AF0669" w:rsidRPr="00C425C5">
        <w:t>expertise required for the SESA will include the following</w:t>
      </w:r>
      <w:r w:rsidR="00AF0669">
        <w:t>:</w:t>
      </w:r>
      <w:r w:rsidR="00AF0669" w:rsidRPr="00C425C5">
        <w:t xml:space="preserve"> </w:t>
      </w:r>
    </w:p>
    <w:p w:rsidR="00992CC3" w:rsidRDefault="00B5131D" w:rsidP="00992CC3">
      <w:pPr>
        <w:pStyle w:val="ListParagraph"/>
        <w:numPr>
          <w:ilvl w:val="0"/>
          <w:numId w:val="73"/>
        </w:numPr>
        <w:spacing w:after="200" w:line="276" w:lineRule="auto"/>
        <w:ind w:right="-331"/>
        <w:jc w:val="both"/>
      </w:pPr>
      <w:r w:rsidRPr="00992CC3">
        <w:rPr>
          <w:b/>
        </w:rPr>
        <w:t>Team leader</w:t>
      </w:r>
      <w:r>
        <w:t xml:space="preserve"> should have proven experience in leading sector or national reviews or assessments of p</w:t>
      </w:r>
      <w:r w:rsidR="00992CC3">
        <w:t>ublic policies or development s</w:t>
      </w:r>
      <w:r>
        <w:t>trategies</w:t>
      </w:r>
      <w:r w:rsidR="00992CC3">
        <w:t xml:space="preserve">. </w:t>
      </w:r>
      <w:r w:rsidR="00992CC3" w:rsidRPr="00992CC3">
        <w:t xml:space="preserve">At least 15 years experience, of which 10 years are relevant experience in developing countries, is </w:t>
      </w:r>
      <w:r w:rsidR="00992CC3">
        <w:t>required</w:t>
      </w:r>
      <w:r w:rsidR="00992CC3" w:rsidRPr="00992CC3">
        <w:t xml:space="preserve">.  </w:t>
      </w:r>
      <w:r w:rsidR="00992CC3">
        <w:t>This expert should have at least 2 years of experience in Western African countries. Experience in Ghana is desirable. S/</w:t>
      </w:r>
      <w:r w:rsidR="006C3777">
        <w:t>h</w:t>
      </w:r>
      <w:r w:rsidR="00992CC3">
        <w:t>e must have academic training in natural resources management, environmental or social sciences.   Experience in SEA or SESA is desirable</w:t>
      </w:r>
      <w:r w:rsidR="00992CC3" w:rsidRPr="00992CC3">
        <w:t>.</w:t>
      </w:r>
    </w:p>
    <w:p w:rsidR="00D640CB" w:rsidRPr="00D640CB" w:rsidRDefault="00D640CB" w:rsidP="00D640CB">
      <w:pPr>
        <w:pStyle w:val="ListParagraph"/>
        <w:numPr>
          <w:ilvl w:val="0"/>
          <w:numId w:val="73"/>
        </w:numPr>
        <w:spacing w:after="200" w:line="276" w:lineRule="auto"/>
        <w:ind w:right="-331"/>
        <w:jc w:val="both"/>
      </w:pPr>
      <w:r w:rsidRPr="00D640CB">
        <w:rPr>
          <w:b/>
        </w:rPr>
        <w:t xml:space="preserve">Natural resource/forestry specialist </w:t>
      </w:r>
      <w:r w:rsidRPr="00D640CB">
        <w:t>should have at least 10 years of experience in forest management, including timber and non timber projects. At least two years of experience in forestry projects in Ghana is required. Knowledge on the legal, regulatory and institutional framework of natural resources in Ghana including mining and agriculture is desirable.</w:t>
      </w:r>
    </w:p>
    <w:p w:rsidR="00FE6411" w:rsidRDefault="00D640CB" w:rsidP="00D640CB">
      <w:pPr>
        <w:pStyle w:val="ListParagraph"/>
        <w:numPr>
          <w:ilvl w:val="0"/>
          <w:numId w:val="73"/>
        </w:numPr>
        <w:spacing w:after="200" w:line="276" w:lineRule="auto"/>
        <w:ind w:right="-331"/>
        <w:jc w:val="both"/>
      </w:pPr>
      <w:r>
        <w:rPr>
          <w:b/>
        </w:rPr>
        <w:t xml:space="preserve">Social development specialist </w:t>
      </w:r>
      <w:r w:rsidR="006C3777" w:rsidRPr="00D640CB">
        <w:t>should have</w:t>
      </w:r>
      <w:r w:rsidR="006C3777">
        <w:rPr>
          <w:b/>
        </w:rPr>
        <w:t xml:space="preserve"> </w:t>
      </w:r>
      <w:r w:rsidR="006C3777" w:rsidRPr="00D640CB">
        <w:t xml:space="preserve">at least ten years of experience </w:t>
      </w:r>
      <w:r w:rsidR="006C3777">
        <w:t>on forest communities and indigenous peoples</w:t>
      </w:r>
      <w:r w:rsidR="00C44ABF">
        <w:t xml:space="preserve">. </w:t>
      </w:r>
      <w:r w:rsidR="0016634D">
        <w:t xml:space="preserve">Familiarity with </w:t>
      </w:r>
      <w:r w:rsidR="005D520A">
        <w:t xml:space="preserve">participatory rural appraisal and </w:t>
      </w:r>
      <w:r w:rsidR="0016634D">
        <w:t xml:space="preserve">social issues associated with forests in Africa and the World Bank social safeguard policies is required. </w:t>
      </w:r>
      <w:r w:rsidR="00C44ABF" w:rsidRPr="00D640CB">
        <w:t>At least t</w:t>
      </w:r>
      <w:r w:rsidR="00C44ABF">
        <w:t>hree</w:t>
      </w:r>
      <w:r w:rsidR="00C44ABF" w:rsidRPr="00D640CB">
        <w:t xml:space="preserve"> years of experience in </w:t>
      </w:r>
      <w:r w:rsidR="00C44ABF">
        <w:t>Western Africa is required</w:t>
      </w:r>
      <w:r w:rsidR="006B6F61">
        <w:t>; exp</w:t>
      </w:r>
      <w:r w:rsidR="00C44ABF">
        <w:t>erience in Ghana is desirable</w:t>
      </w:r>
      <w:r w:rsidR="00C44ABF" w:rsidRPr="00D640CB">
        <w:t>.</w:t>
      </w:r>
      <w:r w:rsidR="00C44ABF">
        <w:t xml:space="preserve"> </w:t>
      </w:r>
    </w:p>
    <w:p w:rsidR="00FE6411" w:rsidRDefault="00FE6411" w:rsidP="00D640CB">
      <w:pPr>
        <w:pStyle w:val="ListParagraph"/>
        <w:numPr>
          <w:ilvl w:val="0"/>
          <w:numId w:val="73"/>
        </w:numPr>
        <w:spacing w:after="200" w:line="276" w:lineRule="auto"/>
        <w:ind w:right="-331"/>
        <w:jc w:val="both"/>
      </w:pPr>
      <w:r>
        <w:rPr>
          <w:b/>
        </w:rPr>
        <w:t xml:space="preserve">Stakeholder engagement specialist </w:t>
      </w:r>
      <w:r w:rsidRPr="00FE6411">
        <w:t>should have at least five years of experience</w:t>
      </w:r>
      <w:r>
        <w:rPr>
          <w:b/>
        </w:rPr>
        <w:t xml:space="preserve"> </w:t>
      </w:r>
      <w:r>
        <w:t>in Ghana. Proven knowledge of stakeholders at the national, regional and local level on forest and land use in Ghana is required. S/he may know at least one local language or dialect widely spoken by rural communities in Ghana.</w:t>
      </w:r>
    </w:p>
    <w:p w:rsidR="0016634D" w:rsidRDefault="00101053" w:rsidP="0016634D">
      <w:pPr>
        <w:pStyle w:val="ListParagraph"/>
        <w:numPr>
          <w:ilvl w:val="0"/>
          <w:numId w:val="73"/>
        </w:numPr>
        <w:spacing w:after="200" w:line="276" w:lineRule="auto"/>
        <w:ind w:right="-331"/>
        <w:jc w:val="both"/>
      </w:pPr>
      <w:r w:rsidRPr="00101053">
        <w:rPr>
          <w:b/>
        </w:rPr>
        <w:t>Environmental Specialist</w:t>
      </w:r>
      <w:r w:rsidR="0016634D">
        <w:rPr>
          <w:b/>
        </w:rPr>
        <w:t xml:space="preserve"> </w:t>
      </w:r>
      <w:r w:rsidR="000B7CE0">
        <w:t>should</w:t>
      </w:r>
      <w:r w:rsidR="0016634D" w:rsidRPr="0016634D">
        <w:t xml:space="preserve"> be able to cover all environmental issues of the project.  </w:t>
      </w:r>
      <w:r w:rsidR="0016634D">
        <w:t xml:space="preserve">S/he may have at least </w:t>
      </w:r>
      <w:r w:rsidR="0016634D" w:rsidRPr="0016634D">
        <w:t xml:space="preserve">10 years </w:t>
      </w:r>
      <w:r w:rsidR="0016634D">
        <w:t xml:space="preserve">of experience in environmental assessment </w:t>
      </w:r>
      <w:r w:rsidR="0016634D" w:rsidRPr="0016634D">
        <w:t xml:space="preserve">in developing countries.  </w:t>
      </w:r>
      <w:r w:rsidR="0016634D">
        <w:t xml:space="preserve">Familiarity with environmental issues associated with forests in Africa and the World Bank environmental safeguard policies is required. Experience in environmental valuation is desirable. </w:t>
      </w:r>
      <w:r w:rsidR="0016634D" w:rsidRPr="0016634D">
        <w:t xml:space="preserve">Priority will be given first to experience in Ghana and then in </w:t>
      </w:r>
      <w:r w:rsidR="0016634D">
        <w:t>developing countries</w:t>
      </w:r>
      <w:r w:rsidR="0016634D" w:rsidRPr="0016634D">
        <w:t>.</w:t>
      </w:r>
    </w:p>
    <w:p w:rsidR="000B7CE0" w:rsidRDefault="000B7CE0" w:rsidP="0016634D">
      <w:pPr>
        <w:pStyle w:val="ListParagraph"/>
        <w:numPr>
          <w:ilvl w:val="0"/>
          <w:numId w:val="73"/>
        </w:numPr>
        <w:spacing w:after="200" w:line="276" w:lineRule="auto"/>
        <w:ind w:right="-331"/>
        <w:jc w:val="both"/>
      </w:pPr>
      <w:r>
        <w:rPr>
          <w:b/>
        </w:rPr>
        <w:t xml:space="preserve">Mapping specialist </w:t>
      </w:r>
      <w:r w:rsidRPr="000B7CE0">
        <w:t>should</w:t>
      </w:r>
      <w:r>
        <w:t xml:space="preserve"> be able to cover all mapping requirements of the SESA. Experience of at least 5 years and proven experience on mapping and GIS techniques is required.</w:t>
      </w:r>
    </w:p>
    <w:p w:rsidR="000B7CE0" w:rsidRPr="0016634D" w:rsidRDefault="000B7CE0" w:rsidP="000B7CE0">
      <w:pPr>
        <w:spacing w:after="200" w:line="276" w:lineRule="auto"/>
        <w:ind w:right="-331"/>
        <w:jc w:val="both"/>
      </w:pPr>
      <w:r>
        <w:lastRenderedPageBreak/>
        <w:t>All members of the team should be fluent in English.</w:t>
      </w:r>
      <w:r w:rsidR="00797AAE">
        <w:t xml:space="preserve"> Specific technical inputs on legal, infrastructure development projects, gender and environmental and natural resources valuation should be </w:t>
      </w:r>
      <w:r w:rsidR="00A4152C">
        <w:t xml:space="preserve">provided </w:t>
      </w:r>
      <w:r w:rsidR="00797AAE">
        <w:t>by the Consultant as needed</w:t>
      </w:r>
      <w:r w:rsidR="00A15206">
        <w:t>.</w:t>
      </w:r>
    </w:p>
    <w:p w:rsidR="00750901" w:rsidRPr="00381BC0" w:rsidRDefault="00101053">
      <w:pPr>
        <w:numPr>
          <w:ilvl w:val="0"/>
          <w:numId w:val="59"/>
        </w:numPr>
        <w:spacing w:before="100" w:beforeAutospacing="1" w:after="100" w:afterAutospacing="1" w:line="276" w:lineRule="auto"/>
        <w:rPr>
          <w:b/>
        </w:rPr>
      </w:pPr>
      <w:r w:rsidRPr="00381BC0">
        <w:rPr>
          <w:b/>
        </w:rPr>
        <w:t>Institutional reporting</w:t>
      </w:r>
      <w:r w:rsidR="00A4542D" w:rsidRPr="00381BC0">
        <w:rPr>
          <w:b/>
        </w:rPr>
        <w:t xml:space="preserve"> </w:t>
      </w:r>
    </w:p>
    <w:p w:rsidR="00A4542D" w:rsidRDefault="00A4542D" w:rsidP="00A15206">
      <w:pPr>
        <w:jc w:val="both"/>
        <w:rPr>
          <w:lang w:val="en-GB"/>
        </w:rPr>
      </w:pPr>
      <w:r w:rsidRPr="000D1EC0">
        <w:t xml:space="preserve">The team of Consultants shall work closely with the SESA </w:t>
      </w:r>
      <w:r w:rsidR="007717E9">
        <w:t>sub-working group</w:t>
      </w:r>
      <w:r w:rsidRPr="000D1EC0">
        <w:t xml:space="preserve"> and </w:t>
      </w:r>
      <w:r w:rsidRPr="000D1EC0">
        <w:rPr>
          <w:lang w:val="en-GB"/>
        </w:rPr>
        <w:t>shall report through the National REDD Steering Committee to the Natural Resources and Environmental Advisory Council (ENRAC), a high level inter-Ministerial and sectoral body composed of the Ministers of Lands and Natural Resources (MLNR), Environment, Science and Technology, and Finance, with potential contributions from the Ministers of Agriculture and Local Government.</w:t>
      </w:r>
    </w:p>
    <w:p w:rsidR="00A4542D" w:rsidRPr="00413BE9" w:rsidRDefault="00A4542D" w:rsidP="00A4542D">
      <w:pPr>
        <w:rPr>
          <w:lang w:val="en-GB"/>
        </w:rPr>
      </w:pPr>
    </w:p>
    <w:p w:rsidR="00A4542D" w:rsidRPr="000D1EC0" w:rsidRDefault="00A4542D" w:rsidP="00A4542D">
      <w:pPr>
        <w:rPr>
          <w:b/>
        </w:rPr>
      </w:pPr>
    </w:p>
    <w:p w:rsidR="00A4542D" w:rsidRDefault="00A4542D" w:rsidP="00A4542D">
      <w:pPr>
        <w:jc w:val="center"/>
        <w:rPr>
          <w:b/>
        </w:rPr>
      </w:pPr>
      <w:r w:rsidRPr="000D1EC0">
        <w:rPr>
          <w:b/>
        </w:rPr>
        <w:t>Some Useful References for SESA Analy</w:t>
      </w:r>
      <w:r w:rsidR="00D36D6A">
        <w:rPr>
          <w:b/>
        </w:rPr>
        <w:t>tical Work</w:t>
      </w:r>
    </w:p>
    <w:p w:rsidR="00D36D6A" w:rsidRPr="000D1EC0" w:rsidRDefault="00D36D6A" w:rsidP="00A4542D">
      <w:pPr>
        <w:jc w:val="center"/>
      </w:pPr>
    </w:p>
    <w:p w:rsidR="00A4542D" w:rsidRPr="000D1EC0" w:rsidRDefault="00A4542D" w:rsidP="00A4542D">
      <w:pPr>
        <w:pStyle w:val="ListParagraph"/>
        <w:numPr>
          <w:ilvl w:val="0"/>
          <w:numId w:val="62"/>
        </w:numPr>
      </w:pPr>
      <w:r w:rsidRPr="000D1EC0">
        <w:t>Amanor, K.S. &amp; Brown, D. (2006). Informing the Policy Process: Decentralisation and Environmental Democracy in Ghana. Overseas Development Institute and University of Ghana Report to the DFID Natural Resource Systems Programme, HTSPE, UK.</w:t>
      </w:r>
    </w:p>
    <w:p w:rsidR="00A4542D" w:rsidRPr="000D1EC0" w:rsidRDefault="00A4542D" w:rsidP="00A4542D">
      <w:pPr>
        <w:pStyle w:val="ListParagraph"/>
        <w:numPr>
          <w:ilvl w:val="0"/>
          <w:numId w:val="62"/>
        </w:numPr>
      </w:pPr>
      <w:r w:rsidRPr="000D1EC0">
        <w:t xml:space="preserve">Birikorang G, Hansen CP and T Treue (2007) Review of the current taxation relevant to the forest sector in Ghana. </w:t>
      </w:r>
      <w:r w:rsidRPr="00413BE9">
        <w:rPr>
          <w:i/>
        </w:rPr>
        <w:t>VLTP Background Paper</w:t>
      </w:r>
      <w:r w:rsidRPr="000D1EC0">
        <w:t xml:space="preserve"> No.1, Forestry Commission, Accra.</w:t>
      </w:r>
    </w:p>
    <w:p w:rsidR="00A4542D" w:rsidRPr="00413BE9" w:rsidRDefault="00A4542D" w:rsidP="00A4542D">
      <w:pPr>
        <w:pStyle w:val="ListParagraph"/>
        <w:numPr>
          <w:ilvl w:val="0"/>
          <w:numId w:val="62"/>
        </w:numPr>
        <w:rPr>
          <w:u w:val="single"/>
        </w:rPr>
      </w:pPr>
      <w:r w:rsidRPr="000D1EC0">
        <w:t>Forestry Commission. (2009). Brief assessment of land use and forest policies and governance in the forest area in Ghana. R-PP Background Paper. Forestry Commission of Ghana, Accra</w:t>
      </w:r>
    </w:p>
    <w:p w:rsidR="00A4542D" w:rsidRPr="000D1EC0" w:rsidRDefault="00A4542D" w:rsidP="00A4542D">
      <w:pPr>
        <w:pStyle w:val="ListParagraph"/>
        <w:numPr>
          <w:ilvl w:val="0"/>
          <w:numId w:val="62"/>
        </w:numPr>
      </w:pPr>
      <w:r w:rsidRPr="000D1EC0">
        <w:t>Forest Watch Ghana (2000</w:t>
      </w:r>
      <w:r w:rsidRPr="00413BE9">
        <w:rPr>
          <w:i/>
        </w:rPr>
        <w:t>) Forest Governance in Ghana: An NGO Perspective</w:t>
      </w:r>
      <w:r w:rsidRPr="000D1EC0">
        <w:t>, FERN. Oxford and Brussels.</w:t>
      </w:r>
    </w:p>
    <w:p w:rsidR="00A4542D" w:rsidRPr="000D1EC0" w:rsidRDefault="00A4542D" w:rsidP="00A4542D">
      <w:pPr>
        <w:pStyle w:val="ListParagraph"/>
        <w:numPr>
          <w:ilvl w:val="0"/>
          <w:numId w:val="62"/>
        </w:numPr>
      </w:pPr>
      <w:r w:rsidRPr="000D1EC0">
        <w:t xml:space="preserve">Hansen, C. P.  &amp; Treue, T. (2008) Assessing Illegal Logging in Ghana. </w:t>
      </w:r>
      <w:r w:rsidRPr="00413BE9">
        <w:rPr>
          <w:i/>
        </w:rPr>
        <w:t>The International Forestry Review</w:t>
      </w:r>
      <w:r w:rsidRPr="000D1EC0">
        <w:t xml:space="preserve"> 10 (4): 573-580.</w:t>
      </w:r>
    </w:p>
    <w:p w:rsidR="00A4542D" w:rsidRPr="000D1EC0" w:rsidRDefault="00A4542D" w:rsidP="00A4542D">
      <w:pPr>
        <w:pStyle w:val="ListParagraph"/>
        <w:numPr>
          <w:ilvl w:val="0"/>
          <w:numId w:val="62"/>
        </w:numPr>
      </w:pPr>
      <w:r w:rsidRPr="000D1EC0">
        <w:t xml:space="preserve">Katoomba Group (2009). </w:t>
      </w:r>
      <w:r w:rsidRPr="00413BE9">
        <w:rPr>
          <w:lang w:val="en-GB"/>
        </w:rPr>
        <w:t xml:space="preserve">REDD Opportunities Scoping Exercise for Ghana. </w:t>
      </w:r>
      <w:r w:rsidRPr="000D1EC0">
        <w:t xml:space="preserve"> Katoomba Group &amp; Nature Conservation Research Centre.  Washington, D.C. &amp; Accra</w:t>
      </w:r>
    </w:p>
    <w:p w:rsidR="00A4542D" w:rsidRPr="000D1EC0" w:rsidRDefault="00A4542D" w:rsidP="00A4542D">
      <w:pPr>
        <w:pStyle w:val="ListParagraph"/>
        <w:numPr>
          <w:ilvl w:val="0"/>
          <w:numId w:val="62"/>
        </w:numPr>
      </w:pPr>
      <w:r w:rsidRPr="000D1EC0">
        <w:t xml:space="preserve">Mayers, J., </w:t>
      </w:r>
      <w:r w:rsidRPr="00413BE9">
        <w:rPr>
          <w:rFonts w:eastAsia="Courier New"/>
          <w:bCs/>
          <w:iCs/>
          <w:lang w:val="en-GB"/>
        </w:rPr>
        <w:t xml:space="preserve">Birikorang, G., Danso, E., Nketiah, K. &amp; Richards, M. (2008). </w:t>
      </w:r>
      <w:r w:rsidRPr="000D1EC0">
        <w:t xml:space="preserve">Assessing the Potential Impacts of a Voluntary Partnership Agreement in Ghana with the EC on Forest Governance. Final Report. IIED, London. </w:t>
      </w:r>
    </w:p>
    <w:p w:rsidR="00A4542D" w:rsidRPr="000D1EC0" w:rsidRDefault="00A4542D" w:rsidP="00A4542D">
      <w:pPr>
        <w:pStyle w:val="ListParagraph"/>
        <w:numPr>
          <w:ilvl w:val="0"/>
          <w:numId w:val="62"/>
        </w:numPr>
      </w:pPr>
      <w:r w:rsidRPr="000D1EC0">
        <w:t xml:space="preserve">NCRC (2008). Towards sustainable charcoal production in Ghana. Accra. </w:t>
      </w:r>
    </w:p>
    <w:p w:rsidR="00A4542D" w:rsidRPr="000D1EC0" w:rsidRDefault="00A4542D" w:rsidP="00A4542D">
      <w:pPr>
        <w:pStyle w:val="ListParagraph"/>
        <w:numPr>
          <w:ilvl w:val="0"/>
          <w:numId w:val="62"/>
        </w:numPr>
      </w:pPr>
      <w:r w:rsidRPr="000D1EC0">
        <w:t>Shepherd, G. &amp; Nyame, S.K. (Forthcoming). Forests-Poverty Toolkit - National Level Analysis and Action Manual. IUCN, Ghana</w:t>
      </w:r>
    </w:p>
    <w:p w:rsidR="00A4542D" w:rsidRPr="000D1EC0" w:rsidRDefault="00A4542D" w:rsidP="00A4542D">
      <w:pPr>
        <w:pStyle w:val="ListParagraph"/>
        <w:numPr>
          <w:ilvl w:val="0"/>
          <w:numId w:val="62"/>
        </w:numPr>
      </w:pPr>
      <w:r w:rsidRPr="000D1EC0">
        <w:t>Tropenbos (2004). Chainsaw lumber: A necessary evil? Ghana Workshop Proceedings. Accra and Wageningen.</w:t>
      </w:r>
    </w:p>
    <w:p w:rsidR="00A4542D" w:rsidRPr="000D1EC0" w:rsidRDefault="00A4542D" w:rsidP="00A4542D">
      <w:pPr>
        <w:pStyle w:val="ListParagraph"/>
        <w:numPr>
          <w:ilvl w:val="0"/>
          <w:numId w:val="62"/>
        </w:numPr>
      </w:pPr>
      <w:r w:rsidRPr="000D1EC0">
        <w:t>Ghana’s REDD+ Readiness Preparation Proposal (R-PP) 2010.</w:t>
      </w:r>
    </w:p>
    <w:p w:rsidR="00A4542D" w:rsidRPr="000D1EC0" w:rsidRDefault="00A4542D" w:rsidP="00A4542D">
      <w:pPr>
        <w:pStyle w:val="ListParagraph"/>
      </w:pPr>
    </w:p>
    <w:p w:rsidR="00A4542D" w:rsidRPr="000D1EC0" w:rsidRDefault="00A4542D" w:rsidP="00A4542D">
      <w:r w:rsidRPr="000D1EC0">
        <w:br w:type="page"/>
      </w:r>
    </w:p>
    <w:p w:rsidR="006A709A" w:rsidRDefault="006A709A" w:rsidP="00A4542D">
      <w:pPr>
        <w:jc w:val="center"/>
        <w:rPr>
          <w:b/>
        </w:rPr>
        <w:sectPr w:rsidR="006A709A" w:rsidSect="001A60ED">
          <w:pgSz w:w="12240" w:h="15840"/>
          <w:pgMar w:top="1440" w:right="1440" w:bottom="1440" w:left="1440" w:header="720" w:footer="720" w:gutter="0"/>
          <w:cols w:space="720"/>
          <w:docGrid w:linePitch="360"/>
        </w:sectPr>
      </w:pPr>
    </w:p>
    <w:p w:rsidR="006A709A" w:rsidRPr="004F3663" w:rsidRDefault="00591699" w:rsidP="006A709A">
      <w:pPr>
        <w:jc w:val="center"/>
        <w:rPr>
          <w:b/>
        </w:rPr>
      </w:pPr>
      <w:r>
        <w:rPr>
          <w:b/>
        </w:rPr>
        <w:lastRenderedPageBreak/>
        <w:t xml:space="preserve">Appendix 1: </w:t>
      </w:r>
      <w:r w:rsidR="006A709A" w:rsidRPr="004F3663">
        <w:rPr>
          <w:b/>
        </w:rPr>
        <w:t xml:space="preserve">SESA of REDD+ Readiness Ghana and the Ghana SEA Approach </w:t>
      </w:r>
    </w:p>
    <w:p w:rsidR="006A709A" w:rsidRDefault="002E200F" w:rsidP="006A709A">
      <w:r>
        <w:rPr>
          <w:noProof/>
        </w:rPr>
        <mc:AlternateContent>
          <mc:Choice Requires="wps">
            <w:drawing>
              <wp:anchor distT="0" distB="0" distL="114300" distR="114300" simplePos="0" relativeHeight="251658240" behindDoc="0" locked="0" layoutInCell="1" allowOverlap="1">
                <wp:simplePos x="0" y="0"/>
                <wp:positionH relativeFrom="column">
                  <wp:posOffset>193040</wp:posOffset>
                </wp:positionH>
                <wp:positionV relativeFrom="paragraph">
                  <wp:posOffset>184150</wp:posOffset>
                </wp:positionV>
                <wp:extent cx="5238750" cy="880745"/>
                <wp:effectExtent l="12065" t="12700" r="698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80745"/>
                        </a:xfrm>
                        <a:prstGeom prst="rect">
                          <a:avLst/>
                        </a:prstGeom>
                        <a:solidFill>
                          <a:srgbClr val="FFFFFF"/>
                        </a:solidFill>
                        <a:ln w="9525">
                          <a:solidFill>
                            <a:srgbClr val="000000"/>
                          </a:solidFill>
                          <a:miter lim="800000"/>
                          <a:headEnd/>
                          <a:tailEnd/>
                        </a:ln>
                      </wps:spPr>
                      <wps:txbx>
                        <w:txbxContent>
                          <w:p w:rsidR="00E204E0" w:rsidRPr="000345C9" w:rsidRDefault="00E204E0" w:rsidP="006A709A">
                            <w:pPr>
                              <w:rPr>
                                <w:b/>
                                <w:sz w:val="18"/>
                                <w:szCs w:val="18"/>
                              </w:rPr>
                            </w:pPr>
                            <w:r w:rsidRPr="000345C9">
                              <w:rPr>
                                <w:b/>
                                <w:sz w:val="18"/>
                                <w:szCs w:val="18"/>
                              </w:rPr>
                              <w:t>“Ghana approach” for Sectoral SEA</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Broad definition of environment (includes social issues)</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Focus on the process (stakeholder involvement) and capacity building</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 xml:space="preserve">EPA plays a central role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pt;margin-top:14.5pt;width:412.5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">
                <v:textbox>
                  <w:txbxContent>
                    <w:p w:rsidR="00E204E0" w:rsidRPr="000345C9" w:rsidRDefault="00E204E0" w:rsidP="006A709A">
                      <w:pPr>
                        <w:rPr>
                          <w:b/>
                          <w:sz w:val="18"/>
                          <w:szCs w:val="18"/>
                        </w:rPr>
                      </w:pPr>
                      <w:r w:rsidRPr="000345C9">
                        <w:rPr>
                          <w:b/>
                          <w:sz w:val="18"/>
                          <w:szCs w:val="18"/>
                        </w:rPr>
                        <w:t>“Ghana approach” for Sectoral SEA</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Broad definition of environment (includes social issues)</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Focus on the process (stakeholder involvement) and capacity building</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 xml:space="preserve">EPA plays a central role  </w:t>
                      </w:r>
                    </w:p>
                  </w:txbxContent>
                </v:textbox>
              </v:shape>
            </w:pict>
          </mc:Fallback>
        </mc:AlternateContent>
      </w:r>
    </w:p>
    <w:p w:rsidR="006A709A" w:rsidRDefault="006A709A" w:rsidP="006A709A"/>
    <w:p w:rsidR="006A709A" w:rsidRDefault="006A709A" w:rsidP="006A709A"/>
    <w:p w:rsidR="006A709A" w:rsidRDefault="006A709A" w:rsidP="006A709A"/>
    <w:p w:rsidR="006A709A" w:rsidRDefault="006A709A" w:rsidP="006A709A"/>
    <w:p w:rsidR="006A709A" w:rsidRDefault="006A709A" w:rsidP="006A709A"/>
    <w:p w:rsidR="006A709A" w:rsidRDefault="00750901" w:rsidP="006A709A">
      <w:r>
        <w:rPr>
          <w:noProof/>
        </w:rPr>
        <w:drawing>
          <wp:inline distT="0" distB="0" distL="0" distR="0">
            <wp:extent cx="8939024" cy="1048624"/>
            <wp:effectExtent l="190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A709A" w:rsidRDefault="002E200F" w:rsidP="006A709A">
      <w:r>
        <w:rPr>
          <w:noProof/>
        </w:rPr>
        <mc:AlternateContent>
          <mc:Choice Requires="wps">
            <w:drawing>
              <wp:anchor distT="0" distB="0" distL="114300" distR="114300" simplePos="0" relativeHeight="251662336" behindDoc="0" locked="0" layoutInCell="1" allowOverlap="1">
                <wp:simplePos x="0" y="0"/>
                <wp:positionH relativeFrom="column">
                  <wp:posOffset>1704340</wp:posOffset>
                </wp:positionH>
                <wp:positionV relativeFrom="paragraph">
                  <wp:posOffset>21590</wp:posOffset>
                </wp:positionV>
                <wp:extent cx="2116455" cy="2569210"/>
                <wp:effectExtent l="8890" t="12065" r="8255"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2569210"/>
                        </a:xfrm>
                        <a:prstGeom prst="rect">
                          <a:avLst/>
                        </a:prstGeom>
                        <a:solidFill>
                          <a:srgbClr val="FFFFFF"/>
                        </a:solidFill>
                        <a:ln w="9525">
                          <a:solidFill>
                            <a:srgbClr val="000000"/>
                          </a:solidFill>
                          <a:miter lim="800000"/>
                          <a:headEnd/>
                          <a:tailEnd/>
                        </a:ln>
                      </wps:spPr>
                      <wps:txbx>
                        <w:txbxContent>
                          <w:p w:rsidR="00E204E0" w:rsidRDefault="00E204E0" w:rsidP="006A709A">
                            <w:pPr>
                              <w:rPr>
                                <w:b/>
                                <w:bCs/>
                                <w:sz w:val="18"/>
                                <w:szCs w:val="18"/>
                              </w:rPr>
                            </w:pPr>
                            <w:r w:rsidRPr="0044068B">
                              <w:rPr>
                                <w:b/>
                                <w:bCs/>
                                <w:sz w:val="18"/>
                                <w:szCs w:val="18"/>
                              </w:rPr>
                              <w:t>Scoping</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xml:space="preserve">- Stakeholders: Gap review &amp; </w:t>
                            </w:r>
                            <w:r>
                              <w:rPr>
                                <w:sz w:val="18"/>
                                <w:szCs w:val="18"/>
                              </w:rPr>
                              <w:t>SESA work plan</w:t>
                            </w:r>
                          </w:p>
                          <w:p w:rsidR="00E204E0" w:rsidRDefault="00E204E0">
                            <w:pPr>
                              <w:spacing w:after="120"/>
                              <w:rPr>
                                <w:sz w:val="18"/>
                                <w:szCs w:val="18"/>
                              </w:rPr>
                            </w:pPr>
                            <w:r w:rsidRPr="0044068B">
                              <w:rPr>
                                <w:sz w:val="18"/>
                                <w:szCs w:val="18"/>
                              </w:rPr>
                              <w:t xml:space="preserve">- Key environmental issues: mapping and analysis of main forest and deforestation areas, </w:t>
                            </w:r>
                            <w:r>
                              <w:rPr>
                                <w:sz w:val="18"/>
                                <w:szCs w:val="18"/>
                              </w:rPr>
                              <w:t>river basin, biodiversity hot</w:t>
                            </w:r>
                            <w:r w:rsidRPr="0044068B">
                              <w:rPr>
                                <w:sz w:val="18"/>
                                <w:szCs w:val="18"/>
                              </w:rPr>
                              <w:t>spots and infrastructure projects in forest areas</w:t>
                            </w:r>
                          </w:p>
                          <w:p w:rsidR="00E204E0" w:rsidRDefault="00E204E0">
                            <w:pPr>
                              <w:spacing w:after="120"/>
                              <w:rPr>
                                <w:sz w:val="18"/>
                                <w:szCs w:val="18"/>
                              </w:rPr>
                            </w:pPr>
                            <w:r w:rsidRPr="0044068B">
                              <w:rPr>
                                <w:sz w:val="18"/>
                                <w:szCs w:val="18"/>
                              </w:rPr>
                              <w:t>- Key social issues: mapping and analysis of main forest dependent communities, activities affecting forests, land rights owners</w:t>
                            </w:r>
                          </w:p>
                          <w:p w:rsidR="00E204E0" w:rsidRDefault="00E204E0">
                            <w:pPr>
                              <w:spacing w:after="120"/>
                              <w:rPr>
                                <w:sz w:val="18"/>
                                <w:szCs w:val="18"/>
                              </w:rPr>
                            </w:pPr>
                            <w:r>
                              <w:rPr>
                                <w:sz w:val="18"/>
                                <w:szCs w:val="18"/>
                              </w:rPr>
                              <w:t>- I</w:t>
                            </w:r>
                            <w:r w:rsidRPr="005D520A">
                              <w:rPr>
                                <w:sz w:val="18"/>
                                <w:szCs w:val="18"/>
                              </w:rPr>
                              <w:t>nstitutional, legal, regulatory, policy and capacity gap</w:t>
                            </w:r>
                            <w:r>
                              <w:rPr>
                                <w:sz w:val="18"/>
                                <w:szCs w:val="18"/>
                              </w:rPr>
                              <w:t xml:space="preserve"> analysis</w:t>
                            </w:r>
                          </w:p>
                          <w:p w:rsidR="00E204E0" w:rsidRDefault="00E204E0" w:rsidP="006A709A">
                            <w:pPr>
                              <w:rPr>
                                <w:sz w:val="18"/>
                                <w:szCs w:val="18"/>
                              </w:rPr>
                            </w:pPr>
                            <w:r w:rsidRPr="0044068B">
                              <w:rPr>
                                <w:sz w:val="18"/>
                                <w:szCs w:val="18"/>
                              </w:rPr>
                              <w:t xml:space="preserve">- Identification of </w:t>
                            </w:r>
                            <w:r w:rsidRPr="004F3663">
                              <w:rPr>
                                <w:sz w:val="18"/>
                                <w:szCs w:val="18"/>
                                <w:u w:val="single"/>
                              </w:rPr>
                              <w:t>priority E&amp;S issues</w:t>
                            </w:r>
                            <w:r w:rsidRPr="0044068B">
                              <w:rPr>
                                <w:sz w:val="18"/>
                                <w:szCs w:val="18"/>
                              </w:rPr>
                              <w:t xml:space="preserve"> in consultation with stakeholders</w:t>
                            </w:r>
                          </w:p>
                          <w:p w:rsidR="00E204E0" w:rsidRPr="0044068B" w:rsidRDefault="00E204E0" w:rsidP="006A709A">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34.2pt;margin-top:1.7pt;width:166.65pt;height:20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">
                <v:textbox>
                  <w:txbxContent>
                    <w:p w:rsidR="00E204E0" w:rsidRDefault="00E204E0" w:rsidP="006A709A">
                      <w:pPr>
                        <w:rPr>
                          <w:b/>
                          <w:bCs/>
                          <w:sz w:val="18"/>
                          <w:szCs w:val="18"/>
                        </w:rPr>
                      </w:pPr>
                      <w:r w:rsidRPr="0044068B">
                        <w:rPr>
                          <w:b/>
                          <w:bCs/>
                          <w:sz w:val="18"/>
                          <w:szCs w:val="18"/>
                        </w:rPr>
                        <w:t>Scoping</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xml:space="preserve">- Stakeholders: Gap review &amp; </w:t>
                      </w:r>
                      <w:r>
                        <w:rPr>
                          <w:sz w:val="18"/>
                          <w:szCs w:val="18"/>
                        </w:rPr>
                        <w:t>SESA work plan</w:t>
                      </w:r>
                    </w:p>
                    <w:p w:rsidR="00E204E0" w:rsidRDefault="00E204E0">
                      <w:pPr>
                        <w:spacing w:after="120"/>
                        <w:rPr>
                          <w:sz w:val="18"/>
                          <w:szCs w:val="18"/>
                        </w:rPr>
                      </w:pPr>
                      <w:r w:rsidRPr="0044068B">
                        <w:rPr>
                          <w:sz w:val="18"/>
                          <w:szCs w:val="18"/>
                        </w:rPr>
                        <w:t xml:space="preserve">- Key environmental issues: mapping and analysis of main forest and deforestation areas, </w:t>
                      </w:r>
                      <w:r>
                        <w:rPr>
                          <w:sz w:val="18"/>
                          <w:szCs w:val="18"/>
                        </w:rPr>
                        <w:t>river basin, biodiversity hot</w:t>
                      </w:r>
                      <w:r w:rsidRPr="0044068B">
                        <w:rPr>
                          <w:sz w:val="18"/>
                          <w:szCs w:val="18"/>
                        </w:rPr>
                        <w:t>spots and infrastructure projects in forest areas</w:t>
                      </w:r>
                    </w:p>
                    <w:p w:rsidR="00E204E0" w:rsidRDefault="00E204E0">
                      <w:pPr>
                        <w:spacing w:after="120"/>
                        <w:rPr>
                          <w:sz w:val="18"/>
                          <w:szCs w:val="18"/>
                        </w:rPr>
                      </w:pPr>
                      <w:r w:rsidRPr="0044068B">
                        <w:rPr>
                          <w:sz w:val="18"/>
                          <w:szCs w:val="18"/>
                        </w:rPr>
                        <w:t>- Key social issues: mapping and analysis of main forest dependent communities, activities affecting forests, land rights owners</w:t>
                      </w:r>
                    </w:p>
                    <w:p w:rsidR="00E204E0" w:rsidRDefault="00E204E0">
                      <w:pPr>
                        <w:spacing w:after="120"/>
                        <w:rPr>
                          <w:sz w:val="18"/>
                          <w:szCs w:val="18"/>
                        </w:rPr>
                      </w:pPr>
                      <w:r>
                        <w:rPr>
                          <w:sz w:val="18"/>
                          <w:szCs w:val="18"/>
                        </w:rPr>
                        <w:t>- I</w:t>
                      </w:r>
                      <w:r w:rsidRPr="005D520A">
                        <w:rPr>
                          <w:sz w:val="18"/>
                          <w:szCs w:val="18"/>
                        </w:rPr>
                        <w:t>nstitutional, legal, regulatory, policy and capacity gap</w:t>
                      </w:r>
                      <w:r>
                        <w:rPr>
                          <w:sz w:val="18"/>
                          <w:szCs w:val="18"/>
                        </w:rPr>
                        <w:t xml:space="preserve"> analysis</w:t>
                      </w:r>
                    </w:p>
                    <w:p w:rsidR="00E204E0" w:rsidRDefault="00E204E0" w:rsidP="006A709A">
                      <w:pPr>
                        <w:rPr>
                          <w:sz w:val="18"/>
                          <w:szCs w:val="18"/>
                        </w:rPr>
                      </w:pPr>
                      <w:r w:rsidRPr="0044068B">
                        <w:rPr>
                          <w:sz w:val="18"/>
                          <w:szCs w:val="18"/>
                        </w:rPr>
                        <w:t xml:space="preserve">- Identification of </w:t>
                      </w:r>
                      <w:r w:rsidRPr="004F3663">
                        <w:rPr>
                          <w:sz w:val="18"/>
                          <w:szCs w:val="18"/>
                          <w:u w:val="single"/>
                        </w:rPr>
                        <w:t>priority E&amp;S issues</w:t>
                      </w:r>
                      <w:r w:rsidRPr="0044068B">
                        <w:rPr>
                          <w:sz w:val="18"/>
                          <w:szCs w:val="18"/>
                        </w:rPr>
                        <w:t xml:space="preserve"> in consultation with stakeholders</w:t>
                      </w:r>
                    </w:p>
                    <w:p w:rsidR="00E204E0" w:rsidRPr="0044068B" w:rsidRDefault="00E204E0" w:rsidP="006A709A">
                      <w:pPr>
                        <w:rPr>
                          <w:sz w:val="18"/>
                          <w:szCs w:val="18"/>
                        </w:rPr>
                      </w:pPr>
                    </w:p>
                  </w:txbxContent>
                </v:textbox>
              </v:shape>
            </w:pict>
          </mc:Fallback>
        </mc:AlternateContent>
      </w:r>
    </w:p>
    <w:p w:rsidR="006A709A" w:rsidRDefault="002E200F" w:rsidP="006A709A">
      <w:r>
        <w:rPr>
          <w:noProof/>
        </w:rPr>
        <mc:AlternateContent>
          <mc:Choice Requires="wps">
            <w:drawing>
              <wp:anchor distT="0" distB="0" distL="114300" distR="114300" simplePos="0" relativeHeight="251663360" behindDoc="0" locked="0" layoutInCell="1" allowOverlap="1">
                <wp:simplePos x="0" y="0"/>
                <wp:positionH relativeFrom="column">
                  <wp:posOffset>6784975</wp:posOffset>
                </wp:positionH>
                <wp:positionV relativeFrom="paragraph">
                  <wp:posOffset>138430</wp:posOffset>
                </wp:positionV>
                <wp:extent cx="1948180" cy="2336800"/>
                <wp:effectExtent l="12700" t="5080" r="10795" b="107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2336800"/>
                        </a:xfrm>
                        <a:prstGeom prst="rect">
                          <a:avLst/>
                        </a:prstGeom>
                        <a:solidFill>
                          <a:srgbClr val="FFFFFF"/>
                        </a:solidFill>
                        <a:ln w="9525">
                          <a:solidFill>
                            <a:srgbClr val="000000"/>
                          </a:solidFill>
                          <a:miter lim="800000"/>
                          <a:headEnd/>
                          <a:tailEnd/>
                        </a:ln>
                      </wps:spPr>
                      <wps:txbx>
                        <w:txbxContent>
                          <w:p w:rsidR="00E204E0" w:rsidRDefault="00E204E0" w:rsidP="006A709A">
                            <w:pPr>
                              <w:rPr>
                                <w:b/>
                                <w:bCs/>
                                <w:sz w:val="18"/>
                                <w:szCs w:val="18"/>
                              </w:rPr>
                            </w:pPr>
                            <w:r w:rsidRPr="0044068B">
                              <w:rPr>
                                <w:b/>
                                <w:bCs/>
                                <w:sz w:val="18"/>
                                <w:szCs w:val="18"/>
                              </w:rPr>
                              <w:t xml:space="preserve">Reporting </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Refined strategy options included in REDD+ strategy</w:t>
                            </w:r>
                          </w:p>
                          <w:p w:rsidR="00E204E0" w:rsidRDefault="00E204E0">
                            <w:pPr>
                              <w:spacing w:after="120"/>
                              <w:rPr>
                                <w:sz w:val="18"/>
                                <w:szCs w:val="18"/>
                              </w:rPr>
                            </w:pPr>
                            <w:r w:rsidRPr="0044068B">
                              <w:rPr>
                                <w:sz w:val="18"/>
                                <w:szCs w:val="18"/>
                              </w:rPr>
                              <w:t xml:space="preserve">- </w:t>
                            </w:r>
                            <w:r w:rsidRPr="00101053">
                              <w:rPr>
                                <w:sz w:val="18"/>
                                <w:szCs w:val="18"/>
                              </w:rPr>
                              <w:t>ESMF for implementation of REDD+ strategy</w:t>
                            </w:r>
                            <w:r>
                              <w:rPr>
                                <w:sz w:val="18"/>
                                <w:szCs w:val="18"/>
                              </w:rPr>
                              <w:t xml:space="preserve"> which includes</w:t>
                            </w:r>
                            <w:r w:rsidRPr="0044068B">
                              <w:rPr>
                                <w:sz w:val="18"/>
                                <w:szCs w:val="18"/>
                              </w:rPr>
                              <w:t xml:space="preserve"> </w:t>
                            </w:r>
                          </w:p>
                          <w:p w:rsidR="00E204E0" w:rsidRDefault="00E204E0" w:rsidP="006A709A">
                            <w:pPr>
                              <w:pStyle w:val="ListParagraph"/>
                              <w:numPr>
                                <w:ilvl w:val="0"/>
                                <w:numId w:val="65"/>
                              </w:numPr>
                              <w:spacing w:after="200" w:line="276" w:lineRule="auto"/>
                              <w:rPr>
                                <w:sz w:val="18"/>
                                <w:szCs w:val="18"/>
                              </w:rPr>
                            </w:pPr>
                            <w:r w:rsidRPr="004F3663">
                              <w:rPr>
                                <w:sz w:val="18"/>
                                <w:szCs w:val="18"/>
                              </w:rPr>
                              <w:t xml:space="preserve">WB safeguard policies triggered, </w:t>
                            </w:r>
                          </w:p>
                          <w:p w:rsidR="00E204E0" w:rsidRDefault="00E204E0" w:rsidP="006A709A">
                            <w:pPr>
                              <w:pStyle w:val="ListParagraph"/>
                              <w:numPr>
                                <w:ilvl w:val="0"/>
                                <w:numId w:val="65"/>
                              </w:numPr>
                              <w:spacing w:after="200" w:line="276" w:lineRule="auto"/>
                              <w:rPr>
                                <w:sz w:val="18"/>
                                <w:szCs w:val="18"/>
                              </w:rPr>
                            </w:pPr>
                            <w:r>
                              <w:rPr>
                                <w:sz w:val="18"/>
                                <w:szCs w:val="18"/>
                              </w:rPr>
                              <w:t>P</w:t>
                            </w:r>
                            <w:r w:rsidRPr="004F3663">
                              <w:rPr>
                                <w:sz w:val="18"/>
                                <w:szCs w:val="18"/>
                              </w:rPr>
                              <w:t xml:space="preserve">reparation of </w:t>
                            </w:r>
                            <w:r>
                              <w:rPr>
                                <w:sz w:val="18"/>
                                <w:szCs w:val="18"/>
                              </w:rPr>
                              <w:t>ToR</w:t>
                            </w:r>
                            <w:r w:rsidRPr="004F3663">
                              <w:rPr>
                                <w:sz w:val="18"/>
                                <w:szCs w:val="18"/>
                              </w:rPr>
                              <w:t xml:space="preserve">, </w:t>
                            </w:r>
                          </w:p>
                          <w:p w:rsidR="00E204E0" w:rsidRDefault="00E204E0" w:rsidP="006A709A">
                            <w:pPr>
                              <w:pStyle w:val="ListParagraph"/>
                              <w:numPr>
                                <w:ilvl w:val="0"/>
                                <w:numId w:val="65"/>
                              </w:numPr>
                              <w:spacing w:after="200" w:line="276" w:lineRule="auto"/>
                              <w:rPr>
                                <w:sz w:val="18"/>
                                <w:szCs w:val="18"/>
                              </w:rPr>
                            </w:pPr>
                            <w:r w:rsidRPr="003331C8">
                              <w:rPr>
                                <w:sz w:val="18"/>
                                <w:szCs w:val="18"/>
                              </w:rPr>
                              <w:t xml:space="preserve">Preparation of frameworks </w:t>
                            </w:r>
                          </w:p>
                          <w:p w:rsidR="00E204E0" w:rsidRDefault="00E204E0" w:rsidP="006A709A">
                            <w:pPr>
                              <w:pStyle w:val="ListParagraph"/>
                              <w:numPr>
                                <w:ilvl w:val="0"/>
                                <w:numId w:val="65"/>
                              </w:numPr>
                              <w:spacing w:after="200" w:line="276" w:lineRule="auto"/>
                              <w:rPr>
                                <w:sz w:val="18"/>
                                <w:szCs w:val="18"/>
                              </w:rPr>
                            </w:pPr>
                            <w:r>
                              <w:rPr>
                                <w:sz w:val="18"/>
                                <w:szCs w:val="18"/>
                              </w:rPr>
                              <w:t>R</w:t>
                            </w:r>
                            <w:r w:rsidRPr="003331C8">
                              <w:rPr>
                                <w:sz w:val="18"/>
                                <w:szCs w:val="18"/>
                              </w:rPr>
                              <w:t xml:space="preserve">equirements for capacity  building and </w:t>
                            </w:r>
                          </w:p>
                          <w:p w:rsidR="00E204E0" w:rsidRPr="003331C8" w:rsidRDefault="00E204E0" w:rsidP="006A709A">
                            <w:pPr>
                              <w:pStyle w:val="ListParagraph"/>
                              <w:numPr>
                                <w:ilvl w:val="0"/>
                                <w:numId w:val="65"/>
                              </w:numPr>
                              <w:spacing w:after="200" w:line="276" w:lineRule="auto"/>
                              <w:rPr>
                                <w:sz w:val="18"/>
                                <w:szCs w:val="18"/>
                              </w:rPr>
                            </w:pPr>
                            <w:r>
                              <w:rPr>
                                <w:sz w:val="18"/>
                                <w:szCs w:val="18"/>
                              </w:rPr>
                              <w:t>Monitoring and evaluation plan</w:t>
                            </w:r>
                          </w:p>
                          <w:p w:rsidR="00E204E0" w:rsidRPr="004F3663" w:rsidRDefault="00E204E0" w:rsidP="006A709A">
                            <w:pPr>
                              <w:pStyle w:val="ListParagraph"/>
                              <w:numPr>
                                <w:ilvl w:val="0"/>
                                <w:numId w:val="65"/>
                              </w:numPr>
                              <w:spacing w:after="200" w:line="276" w:lineRule="auto"/>
                              <w:rPr>
                                <w:sz w:val="18"/>
                                <w:szCs w:val="18"/>
                              </w:rPr>
                            </w:pPr>
                            <w:r>
                              <w:rPr>
                                <w:sz w:val="18"/>
                                <w:szCs w:val="18"/>
                              </w:rPr>
                              <w:t>P</w:t>
                            </w:r>
                            <w:r w:rsidRPr="004F3663">
                              <w:rPr>
                                <w:sz w:val="18"/>
                                <w:szCs w:val="18"/>
                              </w:rPr>
                              <w:t>ublic consultation and 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534.25pt;margin-top:10.9pt;width:153.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">
                <v:textbox>
                  <w:txbxContent>
                    <w:p w:rsidR="00E204E0" w:rsidRDefault="00E204E0" w:rsidP="006A709A">
                      <w:pPr>
                        <w:rPr>
                          <w:b/>
                          <w:bCs/>
                          <w:sz w:val="18"/>
                          <w:szCs w:val="18"/>
                        </w:rPr>
                      </w:pPr>
                      <w:r w:rsidRPr="0044068B">
                        <w:rPr>
                          <w:b/>
                          <w:bCs/>
                          <w:sz w:val="18"/>
                          <w:szCs w:val="18"/>
                        </w:rPr>
                        <w:t xml:space="preserve">Reporting </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Refined strategy options included in REDD+ strategy</w:t>
                      </w:r>
                    </w:p>
                    <w:p w:rsidR="00E204E0" w:rsidRDefault="00E204E0">
                      <w:pPr>
                        <w:spacing w:after="120"/>
                        <w:rPr>
                          <w:sz w:val="18"/>
                          <w:szCs w:val="18"/>
                        </w:rPr>
                      </w:pPr>
                      <w:r w:rsidRPr="0044068B">
                        <w:rPr>
                          <w:sz w:val="18"/>
                          <w:szCs w:val="18"/>
                        </w:rPr>
                        <w:t xml:space="preserve">- </w:t>
                      </w:r>
                      <w:r w:rsidRPr="00101053">
                        <w:rPr>
                          <w:sz w:val="18"/>
                          <w:szCs w:val="18"/>
                        </w:rPr>
                        <w:t>ESMF for implementation of REDD+ strategy</w:t>
                      </w:r>
                      <w:r>
                        <w:rPr>
                          <w:sz w:val="18"/>
                          <w:szCs w:val="18"/>
                        </w:rPr>
                        <w:t xml:space="preserve"> which includes</w:t>
                      </w:r>
                      <w:r w:rsidRPr="0044068B">
                        <w:rPr>
                          <w:sz w:val="18"/>
                          <w:szCs w:val="18"/>
                        </w:rPr>
                        <w:t xml:space="preserve"> </w:t>
                      </w:r>
                    </w:p>
                    <w:p w:rsidR="00E204E0" w:rsidRDefault="00E204E0" w:rsidP="006A709A">
                      <w:pPr>
                        <w:pStyle w:val="ListParagraph"/>
                        <w:numPr>
                          <w:ilvl w:val="0"/>
                          <w:numId w:val="65"/>
                        </w:numPr>
                        <w:spacing w:after="200" w:line="276" w:lineRule="auto"/>
                        <w:rPr>
                          <w:sz w:val="18"/>
                          <w:szCs w:val="18"/>
                        </w:rPr>
                      </w:pPr>
                      <w:r w:rsidRPr="004F3663">
                        <w:rPr>
                          <w:sz w:val="18"/>
                          <w:szCs w:val="18"/>
                        </w:rPr>
                        <w:t xml:space="preserve">WB safeguard policies triggered, </w:t>
                      </w:r>
                    </w:p>
                    <w:p w:rsidR="00E204E0" w:rsidRDefault="00E204E0" w:rsidP="006A709A">
                      <w:pPr>
                        <w:pStyle w:val="ListParagraph"/>
                        <w:numPr>
                          <w:ilvl w:val="0"/>
                          <w:numId w:val="65"/>
                        </w:numPr>
                        <w:spacing w:after="200" w:line="276" w:lineRule="auto"/>
                        <w:rPr>
                          <w:sz w:val="18"/>
                          <w:szCs w:val="18"/>
                        </w:rPr>
                      </w:pPr>
                      <w:r>
                        <w:rPr>
                          <w:sz w:val="18"/>
                          <w:szCs w:val="18"/>
                        </w:rPr>
                        <w:t>P</w:t>
                      </w:r>
                      <w:r w:rsidRPr="004F3663">
                        <w:rPr>
                          <w:sz w:val="18"/>
                          <w:szCs w:val="18"/>
                        </w:rPr>
                        <w:t xml:space="preserve">reparation of </w:t>
                      </w:r>
                      <w:r>
                        <w:rPr>
                          <w:sz w:val="18"/>
                          <w:szCs w:val="18"/>
                        </w:rPr>
                        <w:t>ToR</w:t>
                      </w:r>
                      <w:r w:rsidRPr="004F3663">
                        <w:rPr>
                          <w:sz w:val="18"/>
                          <w:szCs w:val="18"/>
                        </w:rPr>
                        <w:t xml:space="preserve">, </w:t>
                      </w:r>
                    </w:p>
                    <w:p w:rsidR="00E204E0" w:rsidRDefault="00E204E0" w:rsidP="006A709A">
                      <w:pPr>
                        <w:pStyle w:val="ListParagraph"/>
                        <w:numPr>
                          <w:ilvl w:val="0"/>
                          <w:numId w:val="65"/>
                        </w:numPr>
                        <w:spacing w:after="200" w:line="276" w:lineRule="auto"/>
                        <w:rPr>
                          <w:sz w:val="18"/>
                          <w:szCs w:val="18"/>
                        </w:rPr>
                      </w:pPr>
                      <w:r w:rsidRPr="003331C8">
                        <w:rPr>
                          <w:sz w:val="18"/>
                          <w:szCs w:val="18"/>
                        </w:rPr>
                        <w:t xml:space="preserve">Preparation of frameworks </w:t>
                      </w:r>
                    </w:p>
                    <w:p w:rsidR="00E204E0" w:rsidRDefault="00E204E0" w:rsidP="006A709A">
                      <w:pPr>
                        <w:pStyle w:val="ListParagraph"/>
                        <w:numPr>
                          <w:ilvl w:val="0"/>
                          <w:numId w:val="65"/>
                        </w:numPr>
                        <w:spacing w:after="200" w:line="276" w:lineRule="auto"/>
                        <w:rPr>
                          <w:sz w:val="18"/>
                          <w:szCs w:val="18"/>
                        </w:rPr>
                      </w:pPr>
                      <w:r>
                        <w:rPr>
                          <w:sz w:val="18"/>
                          <w:szCs w:val="18"/>
                        </w:rPr>
                        <w:t>R</w:t>
                      </w:r>
                      <w:r w:rsidRPr="003331C8">
                        <w:rPr>
                          <w:sz w:val="18"/>
                          <w:szCs w:val="18"/>
                        </w:rPr>
                        <w:t xml:space="preserve">equirements for capacity  building and </w:t>
                      </w:r>
                    </w:p>
                    <w:p w:rsidR="00E204E0" w:rsidRPr="003331C8" w:rsidRDefault="00E204E0" w:rsidP="006A709A">
                      <w:pPr>
                        <w:pStyle w:val="ListParagraph"/>
                        <w:numPr>
                          <w:ilvl w:val="0"/>
                          <w:numId w:val="65"/>
                        </w:numPr>
                        <w:spacing w:after="200" w:line="276" w:lineRule="auto"/>
                        <w:rPr>
                          <w:sz w:val="18"/>
                          <w:szCs w:val="18"/>
                        </w:rPr>
                      </w:pPr>
                      <w:r>
                        <w:rPr>
                          <w:sz w:val="18"/>
                          <w:szCs w:val="18"/>
                        </w:rPr>
                        <w:t>Monitoring and evaluation plan</w:t>
                      </w:r>
                    </w:p>
                    <w:p w:rsidR="00E204E0" w:rsidRPr="004F3663" w:rsidRDefault="00E204E0" w:rsidP="006A709A">
                      <w:pPr>
                        <w:pStyle w:val="ListParagraph"/>
                        <w:numPr>
                          <w:ilvl w:val="0"/>
                          <w:numId w:val="65"/>
                        </w:numPr>
                        <w:spacing w:after="200" w:line="276" w:lineRule="auto"/>
                        <w:rPr>
                          <w:sz w:val="18"/>
                          <w:szCs w:val="18"/>
                        </w:rPr>
                      </w:pPr>
                      <w:r>
                        <w:rPr>
                          <w:sz w:val="18"/>
                          <w:szCs w:val="18"/>
                        </w:rPr>
                        <w:t>P</w:t>
                      </w:r>
                      <w:r w:rsidRPr="004F3663">
                        <w:rPr>
                          <w:sz w:val="18"/>
                          <w:szCs w:val="18"/>
                        </w:rPr>
                        <w:t>ublic consultation and disclosure</w:t>
                      </w:r>
                    </w:p>
                  </w:txbxContent>
                </v:textbox>
              </v:shape>
            </w:pict>
          </mc:Fallback>
        </mc:AlternateContent>
      </w:r>
    </w:p>
    <w:p w:rsidR="006A709A" w:rsidRDefault="006A709A" w:rsidP="006A709A"/>
    <w:p w:rsidR="006A709A" w:rsidRDefault="002E200F" w:rsidP="006A709A">
      <w:r>
        <w:rPr>
          <w:noProof/>
        </w:rPr>
        <mc:AlternateContent>
          <mc:Choice Requires="wps">
            <w:drawing>
              <wp:anchor distT="0" distB="0" distL="114300" distR="114300" simplePos="0" relativeHeight="251664384" behindDoc="0" locked="0" layoutInCell="1" allowOverlap="1">
                <wp:simplePos x="0" y="0"/>
                <wp:positionH relativeFrom="column">
                  <wp:posOffset>4075430</wp:posOffset>
                </wp:positionH>
                <wp:positionV relativeFrom="paragraph">
                  <wp:posOffset>72390</wp:posOffset>
                </wp:positionV>
                <wp:extent cx="1620520" cy="1767840"/>
                <wp:effectExtent l="8255" t="5715" r="9525"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1767840"/>
                        </a:xfrm>
                        <a:prstGeom prst="rect">
                          <a:avLst/>
                        </a:prstGeom>
                        <a:solidFill>
                          <a:srgbClr val="FFFFFF"/>
                        </a:solidFill>
                        <a:ln w="9525">
                          <a:solidFill>
                            <a:srgbClr val="000000"/>
                          </a:solidFill>
                          <a:miter lim="800000"/>
                          <a:headEnd/>
                          <a:tailEnd/>
                        </a:ln>
                      </wps:spPr>
                      <wps:txbx>
                        <w:txbxContent>
                          <w:p w:rsidR="00E204E0" w:rsidRDefault="00E204E0" w:rsidP="006A709A">
                            <w:pPr>
                              <w:rPr>
                                <w:b/>
                                <w:bCs/>
                                <w:sz w:val="18"/>
                                <w:szCs w:val="18"/>
                              </w:rPr>
                            </w:pPr>
                            <w:r w:rsidRPr="0044068B">
                              <w:rPr>
                                <w:b/>
                                <w:bCs/>
                                <w:sz w:val="18"/>
                                <w:szCs w:val="18"/>
                              </w:rPr>
                              <w:t>Assessment</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Do candidate REDD+ strategy options address priority E&amp;S issues? Do they create significant additional E&amp;S risks?</w:t>
                            </w:r>
                          </w:p>
                          <w:p w:rsidR="00E204E0" w:rsidRDefault="00E204E0">
                            <w:pPr>
                              <w:spacing w:after="120"/>
                              <w:rPr>
                                <w:sz w:val="18"/>
                                <w:szCs w:val="18"/>
                              </w:rPr>
                            </w:pPr>
                            <w:r w:rsidRPr="0044068B">
                              <w:rPr>
                                <w:sz w:val="18"/>
                                <w:szCs w:val="18"/>
                              </w:rPr>
                              <w:t xml:space="preserve">- </w:t>
                            </w:r>
                            <w:r w:rsidRPr="00101053">
                              <w:rPr>
                                <w:sz w:val="18"/>
                                <w:szCs w:val="18"/>
                              </w:rPr>
                              <w:t>Refinement of REDD+ strategy options</w:t>
                            </w:r>
                          </w:p>
                          <w:p w:rsidR="00E204E0" w:rsidRDefault="00E204E0">
                            <w:pPr>
                              <w:spacing w:after="120"/>
                              <w:rPr>
                                <w:sz w:val="18"/>
                                <w:szCs w:val="18"/>
                              </w:rPr>
                            </w:pPr>
                            <w:r w:rsidRPr="0044068B">
                              <w:rPr>
                                <w:sz w:val="18"/>
                                <w:szCs w:val="18"/>
                              </w:rPr>
                              <w:t>- Stakeholders validation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20.9pt;margin-top:5.7pt;width:127.6pt;height:13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">
                <v:textbox>
                  <w:txbxContent>
                    <w:p w:rsidR="00E204E0" w:rsidRDefault="00E204E0" w:rsidP="006A709A">
                      <w:pPr>
                        <w:rPr>
                          <w:b/>
                          <w:bCs/>
                          <w:sz w:val="18"/>
                          <w:szCs w:val="18"/>
                        </w:rPr>
                      </w:pPr>
                      <w:r w:rsidRPr="0044068B">
                        <w:rPr>
                          <w:b/>
                          <w:bCs/>
                          <w:sz w:val="18"/>
                          <w:szCs w:val="18"/>
                        </w:rPr>
                        <w:t>Assessment</w:t>
                      </w:r>
                    </w:p>
                    <w:p w:rsidR="00E204E0" w:rsidRPr="0044068B" w:rsidRDefault="00E204E0" w:rsidP="006A709A">
                      <w:pPr>
                        <w:rPr>
                          <w:sz w:val="18"/>
                          <w:szCs w:val="18"/>
                        </w:rPr>
                      </w:pPr>
                    </w:p>
                    <w:p w:rsidR="00E204E0" w:rsidRDefault="00E204E0">
                      <w:pPr>
                        <w:spacing w:after="120"/>
                        <w:rPr>
                          <w:sz w:val="18"/>
                          <w:szCs w:val="18"/>
                        </w:rPr>
                      </w:pPr>
                      <w:r w:rsidRPr="0044068B">
                        <w:rPr>
                          <w:sz w:val="18"/>
                          <w:szCs w:val="18"/>
                        </w:rPr>
                        <w:t>- Do candidate REDD+ strategy options address priority E&amp;S issues? Do they create significant additional E&amp;S risks?</w:t>
                      </w:r>
                    </w:p>
                    <w:p w:rsidR="00E204E0" w:rsidRDefault="00E204E0">
                      <w:pPr>
                        <w:spacing w:after="120"/>
                        <w:rPr>
                          <w:sz w:val="18"/>
                          <w:szCs w:val="18"/>
                        </w:rPr>
                      </w:pPr>
                      <w:r w:rsidRPr="0044068B">
                        <w:rPr>
                          <w:sz w:val="18"/>
                          <w:szCs w:val="18"/>
                        </w:rPr>
                        <w:t xml:space="preserve">- </w:t>
                      </w:r>
                      <w:r w:rsidRPr="00101053">
                        <w:rPr>
                          <w:sz w:val="18"/>
                          <w:szCs w:val="18"/>
                        </w:rPr>
                        <w:t>Refinement of REDD+ strategy options</w:t>
                      </w:r>
                    </w:p>
                    <w:p w:rsidR="00E204E0" w:rsidRDefault="00E204E0">
                      <w:pPr>
                        <w:spacing w:after="120"/>
                        <w:rPr>
                          <w:sz w:val="18"/>
                          <w:szCs w:val="18"/>
                        </w:rPr>
                      </w:pPr>
                      <w:r w:rsidRPr="0044068B">
                        <w:rPr>
                          <w:sz w:val="18"/>
                          <w:szCs w:val="18"/>
                        </w:rPr>
                        <w:t>- Stakeholders validation</w:t>
                      </w:r>
                    </w:p>
                  </w:txbxContent>
                </v:textbox>
              </v:shape>
            </w:pict>
          </mc:Fallback>
        </mc:AlternateContent>
      </w:r>
    </w:p>
    <w:p w:rsidR="006A709A" w:rsidRDefault="002E200F" w:rsidP="006A709A">
      <w:r>
        <w:rPr>
          <w:noProof/>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15240</wp:posOffset>
                </wp:positionV>
                <wp:extent cx="1423035" cy="1143000"/>
                <wp:effectExtent l="6350" t="5715" r="8890" b="133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143000"/>
                        </a:xfrm>
                        <a:prstGeom prst="rect">
                          <a:avLst/>
                        </a:prstGeom>
                        <a:solidFill>
                          <a:srgbClr val="FFFFFF"/>
                        </a:solidFill>
                        <a:ln w="9525">
                          <a:solidFill>
                            <a:srgbClr val="000000"/>
                          </a:solidFill>
                          <a:miter lim="800000"/>
                          <a:headEnd/>
                          <a:tailEnd/>
                        </a:ln>
                      </wps:spPr>
                      <wps:txbx>
                        <w:txbxContent>
                          <w:p w:rsidR="00E204E0" w:rsidRDefault="00E204E0" w:rsidP="006A709A">
                            <w:pPr>
                              <w:jc w:val="both"/>
                              <w:rPr>
                                <w:b/>
                                <w:bCs/>
                                <w:sz w:val="18"/>
                                <w:szCs w:val="18"/>
                              </w:rPr>
                            </w:pPr>
                            <w:r w:rsidRPr="0044068B">
                              <w:rPr>
                                <w:b/>
                                <w:bCs/>
                                <w:sz w:val="18"/>
                                <w:szCs w:val="18"/>
                              </w:rPr>
                              <w:t>Preparation/screening</w:t>
                            </w:r>
                          </w:p>
                          <w:p w:rsidR="00E204E0" w:rsidRPr="0044068B" w:rsidRDefault="00E204E0" w:rsidP="006A709A">
                            <w:pPr>
                              <w:jc w:val="both"/>
                              <w:rPr>
                                <w:sz w:val="18"/>
                                <w:szCs w:val="18"/>
                              </w:rPr>
                            </w:pPr>
                          </w:p>
                          <w:p w:rsidR="00E204E0" w:rsidRDefault="00E204E0">
                            <w:pPr>
                              <w:spacing w:after="120"/>
                              <w:rPr>
                                <w:sz w:val="18"/>
                                <w:szCs w:val="18"/>
                              </w:rPr>
                            </w:pPr>
                            <w:r w:rsidRPr="0044068B">
                              <w:rPr>
                                <w:sz w:val="18"/>
                                <w:szCs w:val="18"/>
                              </w:rPr>
                              <w:t>- RPP &amp; Assessment Note formulation</w:t>
                            </w:r>
                          </w:p>
                          <w:p w:rsidR="00E204E0" w:rsidRDefault="00E204E0">
                            <w:pPr>
                              <w:spacing w:after="120"/>
                              <w:rPr>
                                <w:sz w:val="18"/>
                                <w:szCs w:val="18"/>
                              </w:rPr>
                            </w:pPr>
                            <w:r w:rsidRPr="0044068B">
                              <w:rPr>
                                <w:sz w:val="18"/>
                                <w:szCs w:val="18"/>
                              </w:rPr>
                              <w:t xml:space="preserve">- Refinement of </w:t>
                            </w:r>
                            <w:r>
                              <w:rPr>
                                <w:sz w:val="18"/>
                                <w:szCs w:val="18"/>
                              </w:rPr>
                              <w:t>ToR</w:t>
                            </w:r>
                          </w:p>
                          <w:p w:rsidR="00E204E0" w:rsidRDefault="00E204E0">
                            <w:pPr>
                              <w:spacing w:after="120"/>
                            </w:pPr>
                            <w:r w:rsidRPr="0044068B">
                              <w:rPr>
                                <w:sz w:val="18"/>
                                <w:szCs w:val="18"/>
                              </w:rPr>
                              <w:t xml:space="preserve">- Hiring of consultants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6.5pt;margin-top:1.2pt;width:112.0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">
                <v:textbox>
                  <w:txbxContent>
                    <w:p w:rsidR="00E204E0" w:rsidRDefault="00E204E0" w:rsidP="006A709A">
                      <w:pPr>
                        <w:jc w:val="both"/>
                        <w:rPr>
                          <w:b/>
                          <w:bCs/>
                          <w:sz w:val="18"/>
                          <w:szCs w:val="18"/>
                        </w:rPr>
                      </w:pPr>
                      <w:r w:rsidRPr="0044068B">
                        <w:rPr>
                          <w:b/>
                          <w:bCs/>
                          <w:sz w:val="18"/>
                          <w:szCs w:val="18"/>
                        </w:rPr>
                        <w:t>Preparation/screening</w:t>
                      </w:r>
                    </w:p>
                    <w:p w:rsidR="00E204E0" w:rsidRPr="0044068B" w:rsidRDefault="00E204E0" w:rsidP="006A709A">
                      <w:pPr>
                        <w:jc w:val="both"/>
                        <w:rPr>
                          <w:sz w:val="18"/>
                          <w:szCs w:val="18"/>
                        </w:rPr>
                      </w:pPr>
                    </w:p>
                    <w:p w:rsidR="00E204E0" w:rsidRDefault="00E204E0">
                      <w:pPr>
                        <w:spacing w:after="120"/>
                        <w:rPr>
                          <w:sz w:val="18"/>
                          <w:szCs w:val="18"/>
                        </w:rPr>
                      </w:pPr>
                      <w:r w:rsidRPr="0044068B">
                        <w:rPr>
                          <w:sz w:val="18"/>
                          <w:szCs w:val="18"/>
                        </w:rPr>
                        <w:t>- RPP &amp; Assessment Note formulation</w:t>
                      </w:r>
                    </w:p>
                    <w:p w:rsidR="00E204E0" w:rsidRDefault="00E204E0">
                      <w:pPr>
                        <w:spacing w:after="120"/>
                        <w:rPr>
                          <w:sz w:val="18"/>
                          <w:szCs w:val="18"/>
                        </w:rPr>
                      </w:pPr>
                      <w:r w:rsidRPr="0044068B">
                        <w:rPr>
                          <w:sz w:val="18"/>
                          <w:szCs w:val="18"/>
                        </w:rPr>
                        <w:t xml:space="preserve">- Refinement of </w:t>
                      </w:r>
                      <w:r>
                        <w:rPr>
                          <w:sz w:val="18"/>
                          <w:szCs w:val="18"/>
                        </w:rPr>
                        <w:t>ToR</w:t>
                      </w:r>
                    </w:p>
                    <w:p w:rsidR="00E204E0" w:rsidRDefault="00E204E0">
                      <w:pPr>
                        <w:spacing w:after="120"/>
                      </w:pPr>
                      <w:r w:rsidRPr="0044068B">
                        <w:rPr>
                          <w:sz w:val="18"/>
                          <w:szCs w:val="18"/>
                        </w:rPr>
                        <w:t xml:space="preserve">- Hiring of consultants </w:t>
                      </w:r>
                    </w:p>
                  </w:txbxContent>
                </v:textbox>
              </v:shape>
            </w:pict>
          </mc:Fallback>
        </mc:AlternateContent>
      </w:r>
    </w:p>
    <w:p w:rsidR="006A709A" w:rsidRDefault="006A709A" w:rsidP="006A709A"/>
    <w:p w:rsidR="006A709A" w:rsidRDefault="002E200F" w:rsidP="006A709A">
      <w:r>
        <w:rPr>
          <w:noProof/>
        </w:rPr>
        <mc:AlternateContent>
          <mc:Choice Requires="wps">
            <w:drawing>
              <wp:anchor distT="0" distB="0" distL="114300" distR="114300" simplePos="0" relativeHeight="251666432" behindDoc="0" locked="0" layoutInCell="1" allowOverlap="1">
                <wp:simplePos x="0" y="0"/>
                <wp:positionH relativeFrom="column">
                  <wp:posOffset>1564640</wp:posOffset>
                </wp:positionH>
                <wp:positionV relativeFrom="paragraph">
                  <wp:posOffset>169545</wp:posOffset>
                </wp:positionV>
                <wp:extent cx="90805" cy="126365"/>
                <wp:effectExtent l="12065" t="36195" r="11430" b="374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636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23.2pt;margin-top:13.35pt;width:7.1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3888105</wp:posOffset>
                </wp:positionH>
                <wp:positionV relativeFrom="paragraph">
                  <wp:posOffset>169545</wp:posOffset>
                </wp:positionV>
                <wp:extent cx="90805" cy="126365"/>
                <wp:effectExtent l="11430" t="36195" r="12065" b="374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636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3" style="position:absolute;margin-left:306.15pt;margin-top:13.35pt;width:7.15pt;height: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"/>
            </w:pict>
          </mc:Fallback>
        </mc:AlternateContent>
      </w:r>
    </w:p>
    <w:p w:rsidR="006A709A" w:rsidRDefault="002E200F" w:rsidP="006A709A">
      <w:r>
        <w:rPr>
          <w:noProof/>
        </w:rPr>
        <mc:AlternateContent>
          <mc:Choice Requires="wps">
            <w:drawing>
              <wp:anchor distT="0" distB="0" distL="114300" distR="114300" simplePos="0" relativeHeight="251668480" behindDoc="0" locked="0" layoutInCell="1" allowOverlap="1">
                <wp:simplePos x="0" y="0"/>
                <wp:positionH relativeFrom="column">
                  <wp:posOffset>5869940</wp:posOffset>
                </wp:positionH>
                <wp:positionV relativeFrom="paragraph">
                  <wp:posOffset>52070</wp:posOffset>
                </wp:positionV>
                <wp:extent cx="813435" cy="126365"/>
                <wp:effectExtent l="12065" t="13970" r="22225" b="120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126365"/>
                        </a:xfrm>
                        <a:prstGeom prst="rightArrow">
                          <a:avLst>
                            <a:gd name="adj1" fmla="val 50000"/>
                            <a:gd name="adj2" fmla="val 160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3" style="position:absolute;margin-left:462.2pt;margin-top:4.1pt;width:64.05pt;height: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"/>
            </w:pict>
          </mc:Fallback>
        </mc:AlternateContent>
      </w:r>
    </w:p>
    <w:p w:rsidR="006A709A" w:rsidRDefault="006A709A" w:rsidP="006A709A"/>
    <w:p w:rsidR="006A709A" w:rsidRDefault="006A709A" w:rsidP="006A709A"/>
    <w:p w:rsidR="006A709A" w:rsidRDefault="006A709A" w:rsidP="006A709A"/>
    <w:p w:rsidR="006A709A" w:rsidRDefault="006A709A" w:rsidP="006A709A"/>
    <w:p w:rsidR="006A709A" w:rsidRDefault="006A709A" w:rsidP="006A709A"/>
    <w:p w:rsidR="006A709A" w:rsidRDefault="006A709A" w:rsidP="00A4542D">
      <w:pPr>
        <w:jc w:val="center"/>
        <w:rPr>
          <w:b/>
        </w:rPr>
      </w:pPr>
    </w:p>
    <w:p w:rsidR="006A709A" w:rsidRDefault="006A709A" w:rsidP="00A4542D">
      <w:pPr>
        <w:jc w:val="center"/>
        <w:rPr>
          <w:b/>
        </w:rPr>
      </w:pPr>
    </w:p>
    <w:p w:rsidR="006A709A" w:rsidRDefault="006A709A" w:rsidP="00A4542D">
      <w:pPr>
        <w:jc w:val="center"/>
        <w:rPr>
          <w:b/>
        </w:rPr>
      </w:pPr>
    </w:p>
    <w:p w:rsidR="006A709A" w:rsidRDefault="002E200F" w:rsidP="00A4542D">
      <w:pPr>
        <w:jc w:val="center"/>
        <w:rPr>
          <w:b/>
        </w:rPr>
      </w:pPr>
      <w:r>
        <w:rPr>
          <w:noProof/>
        </w:rPr>
        <mc:AlternateContent>
          <mc:Choice Requires="wps">
            <w:drawing>
              <wp:anchor distT="0" distB="0" distL="114300" distR="114300" simplePos="0" relativeHeight="251665408" behindDoc="0" locked="0" layoutInCell="1" allowOverlap="1">
                <wp:simplePos x="0" y="0"/>
                <wp:positionH relativeFrom="column">
                  <wp:posOffset>82550</wp:posOffset>
                </wp:positionH>
                <wp:positionV relativeFrom="paragraph">
                  <wp:posOffset>77470</wp:posOffset>
                </wp:positionV>
                <wp:extent cx="5238750" cy="880745"/>
                <wp:effectExtent l="6350" t="10795" r="12700"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80745"/>
                        </a:xfrm>
                        <a:prstGeom prst="rect">
                          <a:avLst/>
                        </a:prstGeom>
                        <a:solidFill>
                          <a:srgbClr val="FFFFFF"/>
                        </a:solidFill>
                        <a:ln w="9525">
                          <a:solidFill>
                            <a:srgbClr val="000000"/>
                          </a:solidFill>
                          <a:miter lim="800000"/>
                          <a:headEnd/>
                          <a:tailEnd/>
                        </a:ln>
                      </wps:spPr>
                      <wps:txbx>
                        <w:txbxContent>
                          <w:p w:rsidR="00E204E0" w:rsidRPr="000345C9" w:rsidRDefault="00E204E0" w:rsidP="006A709A">
                            <w:pPr>
                              <w:rPr>
                                <w:b/>
                                <w:sz w:val="18"/>
                                <w:szCs w:val="18"/>
                              </w:rPr>
                            </w:pPr>
                            <w:r w:rsidRPr="000345C9">
                              <w:rPr>
                                <w:b/>
                                <w:sz w:val="18"/>
                                <w:szCs w:val="18"/>
                              </w:rPr>
                              <w:t>“</w:t>
                            </w:r>
                            <w:r>
                              <w:rPr>
                                <w:b/>
                                <w:sz w:val="18"/>
                                <w:szCs w:val="18"/>
                              </w:rPr>
                              <w:t xml:space="preserve">SESA </w:t>
                            </w:r>
                            <w:r w:rsidRPr="000345C9">
                              <w:rPr>
                                <w:b/>
                                <w:sz w:val="18"/>
                                <w:szCs w:val="18"/>
                              </w:rPr>
                              <w:t xml:space="preserve">approach” for </w:t>
                            </w:r>
                            <w:r>
                              <w:rPr>
                                <w:b/>
                                <w:sz w:val="18"/>
                                <w:szCs w:val="18"/>
                              </w:rPr>
                              <w:t>REDD+ Readiness</w:t>
                            </w:r>
                          </w:p>
                          <w:p w:rsidR="00E204E0" w:rsidRPr="000345C9" w:rsidRDefault="00E204E0" w:rsidP="006A709A">
                            <w:pPr>
                              <w:pStyle w:val="ListParagraph"/>
                              <w:numPr>
                                <w:ilvl w:val="0"/>
                                <w:numId w:val="64"/>
                              </w:numPr>
                              <w:spacing w:after="200" w:line="276" w:lineRule="auto"/>
                              <w:rPr>
                                <w:b/>
                                <w:sz w:val="18"/>
                                <w:szCs w:val="18"/>
                              </w:rPr>
                            </w:pPr>
                            <w:r>
                              <w:rPr>
                                <w:sz w:val="18"/>
                                <w:szCs w:val="18"/>
                              </w:rPr>
                              <w:t>Includes environmental and social issues</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 xml:space="preserve">Focus on the process (stakeholder involvement) </w:t>
                            </w:r>
                          </w:p>
                          <w:p w:rsidR="00E204E0" w:rsidRPr="000345C9" w:rsidRDefault="00E204E0" w:rsidP="006A709A">
                            <w:pPr>
                              <w:pStyle w:val="ListParagraph"/>
                              <w:numPr>
                                <w:ilvl w:val="0"/>
                                <w:numId w:val="64"/>
                              </w:numPr>
                              <w:spacing w:after="200" w:line="276" w:lineRule="auto"/>
                              <w:rPr>
                                <w:b/>
                                <w:sz w:val="18"/>
                                <w:szCs w:val="18"/>
                              </w:rPr>
                            </w:pPr>
                            <w:r>
                              <w:rPr>
                                <w:sz w:val="18"/>
                                <w:szCs w:val="18"/>
                              </w:rPr>
                              <w:t>Consistency with World Bank environmental and social safeguard policies</w:t>
                            </w:r>
                            <w:r w:rsidRPr="000345C9">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6.5pt;margin-top:6.1pt;width:412.5pt;height:6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I9KwIAAFcEAAAOAAAAZHJzL2Uyb0RvYy54bWysVNtu2zAMfR+wfxD0vtjx4iU1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">
                <v:textbox>
                  <w:txbxContent>
                    <w:p w:rsidR="00E204E0" w:rsidRPr="000345C9" w:rsidRDefault="00E204E0" w:rsidP="006A709A">
                      <w:pPr>
                        <w:rPr>
                          <w:b/>
                          <w:sz w:val="18"/>
                          <w:szCs w:val="18"/>
                        </w:rPr>
                      </w:pPr>
                      <w:r w:rsidRPr="000345C9">
                        <w:rPr>
                          <w:b/>
                          <w:sz w:val="18"/>
                          <w:szCs w:val="18"/>
                        </w:rPr>
                        <w:t>“</w:t>
                      </w:r>
                      <w:r>
                        <w:rPr>
                          <w:b/>
                          <w:sz w:val="18"/>
                          <w:szCs w:val="18"/>
                        </w:rPr>
                        <w:t xml:space="preserve">SESA </w:t>
                      </w:r>
                      <w:r w:rsidRPr="000345C9">
                        <w:rPr>
                          <w:b/>
                          <w:sz w:val="18"/>
                          <w:szCs w:val="18"/>
                        </w:rPr>
                        <w:t xml:space="preserve">approach” for </w:t>
                      </w:r>
                      <w:r>
                        <w:rPr>
                          <w:b/>
                          <w:sz w:val="18"/>
                          <w:szCs w:val="18"/>
                        </w:rPr>
                        <w:t>REDD+ Readiness</w:t>
                      </w:r>
                    </w:p>
                    <w:p w:rsidR="00E204E0" w:rsidRPr="000345C9" w:rsidRDefault="00E204E0" w:rsidP="006A709A">
                      <w:pPr>
                        <w:pStyle w:val="ListParagraph"/>
                        <w:numPr>
                          <w:ilvl w:val="0"/>
                          <w:numId w:val="64"/>
                        </w:numPr>
                        <w:spacing w:after="200" w:line="276" w:lineRule="auto"/>
                        <w:rPr>
                          <w:b/>
                          <w:sz w:val="18"/>
                          <w:szCs w:val="18"/>
                        </w:rPr>
                      </w:pPr>
                      <w:r>
                        <w:rPr>
                          <w:sz w:val="18"/>
                          <w:szCs w:val="18"/>
                        </w:rPr>
                        <w:t>Includes environmental and social issues</w:t>
                      </w:r>
                    </w:p>
                    <w:p w:rsidR="00E204E0" w:rsidRPr="000345C9" w:rsidRDefault="00E204E0" w:rsidP="006A709A">
                      <w:pPr>
                        <w:pStyle w:val="ListParagraph"/>
                        <w:numPr>
                          <w:ilvl w:val="0"/>
                          <w:numId w:val="64"/>
                        </w:numPr>
                        <w:spacing w:after="200" w:line="276" w:lineRule="auto"/>
                        <w:rPr>
                          <w:b/>
                          <w:sz w:val="18"/>
                          <w:szCs w:val="18"/>
                        </w:rPr>
                      </w:pPr>
                      <w:r w:rsidRPr="000345C9">
                        <w:rPr>
                          <w:sz w:val="18"/>
                          <w:szCs w:val="18"/>
                        </w:rPr>
                        <w:t xml:space="preserve">Focus on the process (stakeholder involvement) </w:t>
                      </w:r>
                    </w:p>
                    <w:p w:rsidR="00E204E0" w:rsidRPr="000345C9" w:rsidRDefault="00E204E0" w:rsidP="006A709A">
                      <w:pPr>
                        <w:pStyle w:val="ListParagraph"/>
                        <w:numPr>
                          <w:ilvl w:val="0"/>
                          <w:numId w:val="64"/>
                        </w:numPr>
                        <w:spacing w:after="200" w:line="276" w:lineRule="auto"/>
                        <w:rPr>
                          <w:b/>
                          <w:sz w:val="18"/>
                          <w:szCs w:val="18"/>
                        </w:rPr>
                      </w:pPr>
                      <w:r>
                        <w:rPr>
                          <w:sz w:val="18"/>
                          <w:szCs w:val="18"/>
                        </w:rPr>
                        <w:t>Consistency with World Bank environmental and social safeguard policies</w:t>
                      </w:r>
                      <w:r w:rsidRPr="000345C9">
                        <w:rPr>
                          <w:sz w:val="18"/>
                          <w:szCs w:val="18"/>
                        </w:rPr>
                        <w:t xml:space="preserve">  </w:t>
                      </w:r>
                    </w:p>
                  </w:txbxContent>
                </v:textbox>
              </v:shape>
            </w:pict>
          </mc:Fallback>
        </mc:AlternateContent>
      </w:r>
    </w:p>
    <w:p w:rsidR="006A709A" w:rsidRDefault="006A709A" w:rsidP="00A4542D">
      <w:pPr>
        <w:jc w:val="center"/>
        <w:rPr>
          <w:b/>
        </w:rPr>
      </w:pPr>
    </w:p>
    <w:p w:rsidR="006A709A" w:rsidRDefault="006A709A" w:rsidP="00A4542D">
      <w:pPr>
        <w:jc w:val="center"/>
        <w:rPr>
          <w:b/>
        </w:rPr>
      </w:pPr>
    </w:p>
    <w:p w:rsidR="006A709A" w:rsidRDefault="006A709A" w:rsidP="00A4542D">
      <w:pPr>
        <w:jc w:val="center"/>
        <w:rPr>
          <w:b/>
        </w:rPr>
        <w:sectPr w:rsidR="006A709A" w:rsidSect="006A709A">
          <w:pgSz w:w="15840" w:h="12240" w:orient="landscape"/>
          <w:pgMar w:top="1440" w:right="1440" w:bottom="1440" w:left="1440" w:header="720" w:footer="720" w:gutter="0"/>
          <w:cols w:space="720"/>
          <w:docGrid w:linePitch="360"/>
        </w:sectPr>
      </w:pPr>
    </w:p>
    <w:p w:rsidR="006A709A" w:rsidRDefault="006A709A" w:rsidP="00A4542D">
      <w:pPr>
        <w:jc w:val="center"/>
        <w:rPr>
          <w:b/>
        </w:rPr>
      </w:pPr>
    </w:p>
    <w:p w:rsidR="00A4542D" w:rsidRPr="00AF7DB8" w:rsidRDefault="00101053" w:rsidP="00A4542D">
      <w:pPr>
        <w:jc w:val="center"/>
        <w:rPr>
          <w:b/>
        </w:rPr>
      </w:pPr>
      <w:r w:rsidRPr="00D36D6A">
        <w:rPr>
          <w:b/>
        </w:rPr>
        <w:t xml:space="preserve">Appendix 2: Stakeholders to Be Consulted during the SESA Process </w:t>
      </w:r>
    </w:p>
    <w:p w:rsidR="00A4542D" w:rsidRDefault="00A4542D" w:rsidP="00A4542D">
      <w:pPr>
        <w:rPr>
          <w:b/>
          <w:bCs/>
          <w:iCs/>
        </w:rPr>
      </w:pPr>
    </w:p>
    <w:p w:rsidR="00A4542D" w:rsidRPr="00821DB8" w:rsidRDefault="00A4542D" w:rsidP="00A4542D">
      <w:pPr>
        <w:rPr>
          <w:b/>
          <w:bCs/>
          <w:iCs/>
        </w:rPr>
      </w:pPr>
      <w:r w:rsidRPr="00821DB8">
        <w:rPr>
          <w:b/>
          <w:bCs/>
          <w:iCs/>
        </w:rPr>
        <w:t>Key Stakeholders</w:t>
      </w:r>
    </w:p>
    <w:p w:rsidR="00A4542D" w:rsidRPr="00821DB8" w:rsidRDefault="00A4542D" w:rsidP="00A4542D">
      <w:pPr>
        <w:rPr>
          <w:iCs/>
        </w:rPr>
      </w:pPr>
      <w:r w:rsidRPr="00821DB8">
        <w:rPr>
          <w:iCs/>
        </w:rPr>
        <w:t>Issues relating to REDD</w:t>
      </w:r>
      <w:r>
        <w:rPr>
          <w:iCs/>
        </w:rPr>
        <w:t>-</w:t>
      </w:r>
      <w:r w:rsidRPr="00821DB8">
        <w:rPr>
          <w:iCs/>
        </w:rPr>
        <w:t>plus affect a wide range of stakeholders and are particularly relevant within Ghana where over 70% of the population is directly dependant on natural resources for their livelihoods.</w:t>
      </w:r>
    </w:p>
    <w:p w:rsidR="00A4542D" w:rsidRPr="00821DB8" w:rsidRDefault="00A4542D" w:rsidP="00A4542D">
      <w:pPr>
        <w:rPr>
          <w:iCs/>
        </w:rPr>
      </w:pPr>
      <w:r w:rsidRPr="00821DB8">
        <w:rPr>
          <w:iCs/>
        </w:rPr>
        <w:t>Stakeholder groups identified for engagement within consultation included:</w:t>
      </w:r>
    </w:p>
    <w:p w:rsidR="00A4542D" w:rsidRPr="00821DB8" w:rsidRDefault="00A4542D" w:rsidP="00A4542D">
      <w:pPr>
        <w:numPr>
          <w:ilvl w:val="0"/>
          <w:numId w:val="16"/>
        </w:numPr>
        <w:tabs>
          <w:tab w:val="num" w:pos="360"/>
        </w:tabs>
        <w:spacing w:line="260" w:lineRule="atLeast"/>
        <w:ind w:left="360"/>
        <w:jc w:val="both"/>
        <w:rPr>
          <w:iCs/>
        </w:rPr>
      </w:pPr>
      <w:r w:rsidRPr="00821DB8">
        <w:rPr>
          <w:iCs/>
        </w:rPr>
        <w:t>Government – State level and statutory level with a focus on cross-sectoral linkages</w:t>
      </w:r>
    </w:p>
    <w:p w:rsidR="00A4542D" w:rsidRPr="00821DB8" w:rsidRDefault="00A4542D" w:rsidP="00A4542D">
      <w:pPr>
        <w:numPr>
          <w:ilvl w:val="0"/>
          <w:numId w:val="16"/>
        </w:numPr>
        <w:tabs>
          <w:tab w:val="num" w:pos="360"/>
        </w:tabs>
        <w:spacing w:line="260" w:lineRule="atLeast"/>
        <w:ind w:left="360"/>
        <w:jc w:val="both"/>
        <w:rPr>
          <w:iCs/>
        </w:rPr>
      </w:pPr>
      <w:r w:rsidRPr="00821DB8">
        <w:rPr>
          <w:iCs/>
        </w:rPr>
        <w:t>Private Sector – including timber industry, agricultural and financial institutions.</w:t>
      </w:r>
    </w:p>
    <w:p w:rsidR="00A4542D" w:rsidRPr="00821DB8" w:rsidRDefault="00A4542D" w:rsidP="00A4542D">
      <w:pPr>
        <w:numPr>
          <w:ilvl w:val="0"/>
          <w:numId w:val="16"/>
        </w:numPr>
        <w:tabs>
          <w:tab w:val="num" w:pos="360"/>
        </w:tabs>
        <w:spacing w:line="260" w:lineRule="atLeast"/>
        <w:ind w:left="360"/>
        <w:jc w:val="both"/>
        <w:rPr>
          <w:iCs/>
        </w:rPr>
      </w:pPr>
      <w:r w:rsidRPr="00821DB8">
        <w:rPr>
          <w:iCs/>
        </w:rPr>
        <w:t>Civil Society – including local and international NGOs, community based organisations across all relevant thematic areas</w:t>
      </w:r>
      <w:r w:rsidR="00912F53">
        <w:rPr>
          <w:iCs/>
        </w:rPr>
        <w:t>, National House of Chiefs and Forest Forums</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Development Partners </w:t>
      </w:r>
    </w:p>
    <w:p w:rsidR="00A4542D" w:rsidRPr="00821DB8" w:rsidRDefault="00A4542D" w:rsidP="00A4542D">
      <w:pPr>
        <w:rPr>
          <w:iCs/>
        </w:rPr>
      </w:pPr>
    </w:p>
    <w:p w:rsidR="00A4542D" w:rsidRPr="00821DB8" w:rsidRDefault="00A4542D" w:rsidP="00A4542D">
      <w:pPr>
        <w:rPr>
          <w:b/>
          <w:iCs/>
        </w:rPr>
      </w:pPr>
      <w:r w:rsidRPr="00821DB8">
        <w:rPr>
          <w:b/>
          <w:iCs/>
        </w:rPr>
        <w:t xml:space="preserve">Table </w:t>
      </w:r>
      <w:r>
        <w:rPr>
          <w:b/>
          <w:iCs/>
        </w:rPr>
        <w:t>2</w:t>
      </w:r>
      <w:r w:rsidRPr="00821DB8">
        <w:rPr>
          <w:b/>
          <w:iCs/>
        </w:rPr>
        <w:t>: List of stakeholders identified during R-PP development</w:t>
      </w:r>
    </w:p>
    <w:tbl>
      <w:tblPr>
        <w:tblW w:w="8928" w:type="dxa"/>
        <w:tblLook w:val="01E0" w:firstRow="1" w:lastRow="1" w:firstColumn="1" w:lastColumn="1" w:noHBand="0" w:noVBand="0"/>
      </w:tblPr>
      <w:tblGrid>
        <w:gridCol w:w="4261"/>
        <w:gridCol w:w="4667"/>
      </w:tblGrid>
      <w:tr w:rsidR="00A4542D" w:rsidRPr="00821DB8" w:rsidTr="007D66B5">
        <w:tc>
          <w:tcPr>
            <w:tcW w:w="4261" w:type="dxa"/>
          </w:tcPr>
          <w:p w:rsidR="00A4542D" w:rsidRPr="00821DB8" w:rsidRDefault="00A4542D" w:rsidP="007D66B5">
            <w:pPr>
              <w:ind w:left="360"/>
              <w:rPr>
                <w:b/>
                <w:bCs/>
              </w:rPr>
            </w:pPr>
            <w:r w:rsidRPr="00821DB8">
              <w:rPr>
                <w:b/>
                <w:bCs/>
              </w:rPr>
              <w:t>Government</w:t>
            </w:r>
          </w:p>
          <w:p w:rsidR="00A4542D" w:rsidRPr="00821DB8" w:rsidRDefault="00A4542D" w:rsidP="00A4542D">
            <w:pPr>
              <w:numPr>
                <w:ilvl w:val="0"/>
                <w:numId w:val="16"/>
              </w:numPr>
              <w:tabs>
                <w:tab w:val="num" w:pos="360"/>
              </w:tabs>
              <w:spacing w:line="260" w:lineRule="atLeast"/>
              <w:ind w:left="360"/>
              <w:jc w:val="both"/>
              <w:rPr>
                <w:iCs/>
              </w:rPr>
            </w:pPr>
            <w:r w:rsidRPr="00821DB8">
              <w:rPr>
                <w:iCs/>
              </w:rPr>
              <w:t>Office of President / Office of Vice President</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Land &amp; Natural Resources</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Foreign Affairs</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Ministry of Finance &amp; Economic Planning </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Food &amp; Agriculture</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Environment, Science &amp; Technology</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Local Government &amp; Rural Development</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Education</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Ministry of Energy</w:t>
            </w:r>
          </w:p>
          <w:p w:rsidR="00A4542D" w:rsidRPr="00821DB8" w:rsidRDefault="00A4542D" w:rsidP="00A4542D">
            <w:pPr>
              <w:numPr>
                <w:ilvl w:val="0"/>
                <w:numId w:val="16"/>
              </w:numPr>
              <w:tabs>
                <w:tab w:val="num" w:pos="360"/>
                <w:tab w:val="num" w:pos="720"/>
              </w:tabs>
              <w:spacing w:line="260" w:lineRule="atLeast"/>
              <w:ind w:left="360"/>
              <w:jc w:val="both"/>
              <w:rPr>
                <w:iCs/>
              </w:rPr>
            </w:pPr>
            <w:r w:rsidRPr="00821DB8">
              <w:rPr>
                <w:iCs/>
              </w:rPr>
              <w:t xml:space="preserve">Forest Commission </w:t>
            </w:r>
          </w:p>
          <w:p w:rsidR="00A4542D" w:rsidRPr="00821DB8" w:rsidRDefault="00A4542D" w:rsidP="00A4542D">
            <w:pPr>
              <w:numPr>
                <w:ilvl w:val="0"/>
                <w:numId w:val="16"/>
              </w:numPr>
              <w:tabs>
                <w:tab w:val="num" w:pos="360"/>
                <w:tab w:val="num" w:pos="720"/>
              </w:tabs>
              <w:spacing w:line="260" w:lineRule="atLeast"/>
              <w:ind w:left="360"/>
              <w:jc w:val="both"/>
              <w:rPr>
                <w:iCs/>
              </w:rPr>
            </w:pPr>
            <w:r w:rsidRPr="00821DB8">
              <w:rPr>
                <w:iCs/>
              </w:rPr>
              <w:t xml:space="preserve">Lands Commission </w:t>
            </w:r>
          </w:p>
          <w:p w:rsidR="00A4542D" w:rsidRPr="00821DB8" w:rsidRDefault="00A4542D" w:rsidP="00A4542D">
            <w:pPr>
              <w:numPr>
                <w:ilvl w:val="0"/>
                <w:numId w:val="16"/>
              </w:numPr>
              <w:tabs>
                <w:tab w:val="num" w:pos="360"/>
                <w:tab w:val="num" w:pos="720"/>
              </w:tabs>
              <w:spacing w:line="260" w:lineRule="atLeast"/>
              <w:ind w:left="360"/>
              <w:jc w:val="both"/>
              <w:rPr>
                <w:iCs/>
              </w:rPr>
            </w:pPr>
            <w:r w:rsidRPr="00821DB8">
              <w:rPr>
                <w:iCs/>
              </w:rPr>
              <w:t>Water Resources Commission</w:t>
            </w:r>
          </w:p>
          <w:p w:rsidR="00A4542D" w:rsidRPr="00821DB8" w:rsidRDefault="00A4542D" w:rsidP="00A4542D">
            <w:pPr>
              <w:numPr>
                <w:ilvl w:val="0"/>
                <w:numId w:val="16"/>
              </w:numPr>
              <w:tabs>
                <w:tab w:val="num" w:pos="360"/>
                <w:tab w:val="num" w:pos="720"/>
              </w:tabs>
              <w:spacing w:line="260" w:lineRule="atLeast"/>
              <w:ind w:left="360"/>
              <w:jc w:val="both"/>
              <w:rPr>
                <w:iCs/>
              </w:rPr>
            </w:pPr>
            <w:r w:rsidRPr="00821DB8">
              <w:rPr>
                <w:iCs/>
              </w:rPr>
              <w:t>Energy Commission</w:t>
            </w:r>
          </w:p>
          <w:p w:rsidR="00A4542D" w:rsidRPr="00821DB8" w:rsidRDefault="00A4542D" w:rsidP="00A4542D">
            <w:pPr>
              <w:numPr>
                <w:ilvl w:val="0"/>
                <w:numId w:val="16"/>
              </w:numPr>
              <w:tabs>
                <w:tab w:val="num" w:pos="360"/>
                <w:tab w:val="num" w:pos="720"/>
              </w:tabs>
              <w:spacing w:line="260" w:lineRule="atLeast"/>
              <w:ind w:left="360"/>
              <w:jc w:val="both"/>
              <w:rPr>
                <w:iCs/>
              </w:rPr>
            </w:pPr>
            <w:r w:rsidRPr="00821DB8">
              <w:rPr>
                <w:iCs/>
              </w:rPr>
              <w:t xml:space="preserve">Internal Revenue Service </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National Development Planning Commission</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Environmental Protection Agency</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Savannah Accelerated Development Authority</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 xml:space="preserve">Ghana National Fire Service </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 xml:space="preserve">Customs Excise &amp; Preventive Services </w:t>
            </w:r>
          </w:p>
          <w:p w:rsidR="00A4542D" w:rsidRPr="00821DB8" w:rsidRDefault="00A4542D" w:rsidP="00A4542D">
            <w:pPr>
              <w:numPr>
                <w:ilvl w:val="0"/>
                <w:numId w:val="16"/>
              </w:numPr>
              <w:tabs>
                <w:tab w:val="num" w:pos="360"/>
              </w:tabs>
              <w:spacing w:line="260" w:lineRule="atLeast"/>
              <w:ind w:left="360"/>
              <w:rPr>
                <w:iCs/>
              </w:rPr>
            </w:pPr>
            <w:r w:rsidRPr="00821DB8">
              <w:rPr>
                <w:iCs/>
              </w:rPr>
              <w:t xml:space="preserve">Immigration Service             </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The Judiciary</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lastRenderedPageBreak/>
              <w:t xml:space="preserve">Office of the Administrator of Stool Lands </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Ghana Investment Promotion Centre</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Cocoa Board</w:t>
            </w:r>
          </w:p>
          <w:p w:rsidR="00A4542D" w:rsidRPr="00821DB8" w:rsidRDefault="00A4542D" w:rsidP="00A4542D">
            <w:pPr>
              <w:numPr>
                <w:ilvl w:val="0"/>
                <w:numId w:val="16"/>
              </w:numPr>
              <w:tabs>
                <w:tab w:val="num" w:pos="360"/>
              </w:tabs>
              <w:spacing w:line="260" w:lineRule="atLeast"/>
              <w:ind w:left="360"/>
              <w:rPr>
                <w:iCs/>
              </w:rPr>
            </w:pPr>
            <w:r w:rsidRPr="00821DB8">
              <w:rPr>
                <w:iCs/>
              </w:rPr>
              <w:t xml:space="preserve">Meteorology Service          </w:t>
            </w:r>
          </w:p>
          <w:p w:rsidR="00A4542D" w:rsidRPr="00821DB8" w:rsidRDefault="00A4542D" w:rsidP="00A4542D">
            <w:pPr>
              <w:numPr>
                <w:ilvl w:val="0"/>
                <w:numId w:val="16"/>
              </w:numPr>
              <w:tabs>
                <w:tab w:val="num" w:pos="360"/>
                <w:tab w:val="num" w:pos="720"/>
              </w:tabs>
              <w:spacing w:line="260" w:lineRule="atLeast"/>
              <w:ind w:left="360"/>
              <w:rPr>
                <w:iCs/>
              </w:rPr>
            </w:pPr>
            <w:r w:rsidRPr="00821DB8">
              <w:rPr>
                <w:iCs/>
              </w:rPr>
              <w:t>National Disaster Management Organisation</w:t>
            </w:r>
          </w:p>
          <w:p w:rsidR="00A4542D" w:rsidRDefault="00A4542D" w:rsidP="00A4542D">
            <w:pPr>
              <w:numPr>
                <w:ilvl w:val="0"/>
                <w:numId w:val="16"/>
              </w:numPr>
              <w:tabs>
                <w:tab w:val="num" w:pos="360"/>
              </w:tabs>
              <w:spacing w:line="260" w:lineRule="atLeast"/>
              <w:ind w:left="360"/>
              <w:rPr>
                <w:iCs/>
              </w:rPr>
            </w:pPr>
            <w:r w:rsidRPr="00821DB8">
              <w:rPr>
                <w:iCs/>
              </w:rPr>
              <w:t>National Commission on Civic Education</w:t>
            </w:r>
          </w:p>
          <w:p w:rsidR="00B75598" w:rsidRPr="00821DB8" w:rsidRDefault="00B75598" w:rsidP="00A4542D">
            <w:pPr>
              <w:numPr>
                <w:ilvl w:val="0"/>
                <w:numId w:val="16"/>
              </w:numPr>
              <w:tabs>
                <w:tab w:val="num" w:pos="360"/>
              </w:tabs>
              <w:spacing w:line="260" w:lineRule="atLeast"/>
              <w:ind w:left="360"/>
              <w:rPr>
                <w:iCs/>
              </w:rPr>
            </w:pPr>
            <w:r>
              <w:rPr>
                <w:iCs/>
              </w:rPr>
              <w:t>Ministry of Women and Children’s Affairs</w:t>
            </w:r>
          </w:p>
          <w:p w:rsidR="00A4542D" w:rsidRPr="00821DB8" w:rsidRDefault="00A4542D" w:rsidP="007D66B5">
            <w:pPr>
              <w:rPr>
                <w:bCs/>
              </w:rPr>
            </w:pPr>
          </w:p>
        </w:tc>
        <w:tc>
          <w:tcPr>
            <w:tcW w:w="4667" w:type="dxa"/>
          </w:tcPr>
          <w:p w:rsidR="00A4542D" w:rsidRPr="00821DB8" w:rsidRDefault="00A4542D" w:rsidP="007D66B5">
            <w:pPr>
              <w:rPr>
                <w:b/>
                <w:iCs/>
              </w:rPr>
            </w:pPr>
            <w:r w:rsidRPr="00821DB8">
              <w:rPr>
                <w:iCs/>
              </w:rPr>
              <w:lastRenderedPageBreak/>
              <w:t xml:space="preserve">     </w:t>
            </w:r>
            <w:r w:rsidRPr="00821DB8">
              <w:rPr>
                <w:b/>
                <w:iCs/>
              </w:rPr>
              <w:t>Private Sector</w:t>
            </w:r>
          </w:p>
          <w:p w:rsidR="00A4542D" w:rsidRPr="00821DB8" w:rsidRDefault="00A4542D" w:rsidP="00A4542D">
            <w:pPr>
              <w:numPr>
                <w:ilvl w:val="0"/>
                <w:numId w:val="16"/>
              </w:numPr>
              <w:tabs>
                <w:tab w:val="num" w:pos="360"/>
              </w:tabs>
              <w:spacing w:line="260" w:lineRule="atLeast"/>
              <w:ind w:left="360"/>
              <w:jc w:val="both"/>
              <w:rPr>
                <w:iCs/>
              </w:rPr>
            </w:pPr>
            <w:smartTag w:uri="urn:schemas-microsoft-com:office:smarttags" w:element="stockticker">
              <w:r w:rsidRPr="00821DB8">
                <w:rPr>
                  <w:iCs/>
                </w:rPr>
                <w:t>AGI</w:t>
              </w:r>
              <w:r w:rsidR="00E6355B">
                <w:rPr>
                  <w:iCs/>
                </w:rPr>
                <w:t>:</w:t>
              </w:r>
            </w:smartTag>
            <w:r w:rsidRPr="00821DB8">
              <w:rPr>
                <w:iCs/>
              </w:rPr>
              <w:t xml:space="preserve"> Assoc</w:t>
            </w:r>
            <w:r w:rsidR="00E6355B">
              <w:rPr>
                <w:iCs/>
              </w:rPr>
              <w:t>iation</w:t>
            </w:r>
            <w:r w:rsidRPr="00821DB8">
              <w:rPr>
                <w:iCs/>
              </w:rPr>
              <w:t xml:space="preserve"> of Ghana </w:t>
            </w:r>
            <w:r w:rsidR="00E6355B">
              <w:rPr>
                <w:iCs/>
              </w:rPr>
              <w:t>I</w:t>
            </w:r>
            <w:r w:rsidRPr="00821DB8">
              <w:rPr>
                <w:iCs/>
              </w:rPr>
              <w:t>ndustries</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Wood Industry- GTMO, DOLTA, </w:t>
            </w:r>
            <w:smartTag w:uri="urn:schemas-microsoft-com:office:smarttags" w:element="stockticker">
              <w:r w:rsidRPr="00821DB8">
                <w:rPr>
                  <w:iCs/>
                </w:rPr>
                <w:t>GTA</w:t>
              </w:r>
            </w:smartTag>
            <w:r w:rsidRPr="00821DB8">
              <w:rPr>
                <w:iCs/>
              </w:rPr>
              <w:t xml:space="preserve">, </w:t>
            </w:r>
            <w:smartTag w:uri="urn:schemas-microsoft-com:office:smarttags" w:element="stockticker">
              <w:r w:rsidRPr="00821DB8">
                <w:rPr>
                  <w:iCs/>
                </w:rPr>
                <w:t>GATEX</w:t>
              </w:r>
            </w:smartTag>
            <w:r w:rsidRPr="00821DB8">
              <w:rPr>
                <w:iCs/>
              </w:rPr>
              <w:t xml:space="preserve">, FOWAG, Small scale carpenters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Mining Industry – Chamber of Mines, galamsey</w:t>
            </w:r>
          </w:p>
          <w:p w:rsidR="00A4542D" w:rsidRPr="00821DB8" w:rsidRDefault="00A4542D" w:rsidP="00A4542D">
            <w:pPr>
              <w:numPr>
                <w:ilvl w:val="0"/>
                <w:numId w:val="16"/>
              </w:numPr>
              <w:tabs>
                <w:tab w:val="num" w:pos="360"/>
              </w:tabs>
              <w:spacing w:line="260" w:lineRule="atLeast"/>
              <w:ind w:left="360"/>
              <w:jc w:val="both"/>
              <w:rPr>
                <w:iCs/>
              </w:rPr>
            </w:pPr>
            <w:r w:rsidRPr="00821DB8">
              <w:rPr>
                <w:iCs/>
              </w:rPr>
              <w:t>Fuel wood &amp; charcoal Burners Associations (producers, transporters, consumers)</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 NTFP gatherers (Hunters, Fishers, Fuel wood collectors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Farmers Large &amp; small scale</w:t>
            </w:r>
          </w:p>
          <w:p w:rsidR="00A4542D" w:rsidRPr="00821DB8" w:rsidRDefault="00A4542D" w:rsidP="00A4542D">
            <w:pPr>
              <w:numPr>
                <w:ilvl w:val="0"/>
                <w:numId w:val="16"/>
              </w:numPr>
              <w:tabs>
                <w:tab w:val="num" w:pos="360"/>
              </w:tabs>
              <w:spacing w:line="260" w:lineRule="atLeast"/>
              <w:ind w:left="360"/>
              <w:jc w:val="both"/>
              <w:rPr>
                <w:iCs/>
              </w:rPr>
            </w:pPr>
            <w:r w:rsidRPr="00821DB8">
              <w:rPr>
                <w:iCs/>
              </w:rPr>
              <w:t>Services - Investors/Buyers, technical experts – consultants</w:t>
            </w:r>
          </w:p>
          <w:p w:rsidR="00A4542D" w:rsidRPr="00821DB8" w:rsidRDefault="00A4542D" w:rsidP="007D66B5">
            <w:pPr>
              <w:rPr>
                <w:iCs/>
              </w:rPr>
            </w:pPr>
            <w:r w:rsidRPr="00821DB8">
              <w:rPr>
                <w:iCs/>
              </w:rPr>
              <w:t xml:space="preserve">   </w:t>
            </w:r>
          </w:p>
          <w:p w:rsidR="00A4542D" w:rsidRPr="00821DB8" w:rsidRDefault="00A4542D" w:rsidP="007D66B5">
            <w:pPr>
              <w:tabs>
                <w:tab w:val="left" w:pos="3682"/>
              </w:tabs>
              <w:rPr>
                <w:b/>
                <w:iCs/>
              </w:rPr>
            </w:pPr>
            <w:r w:rsidRPr="00821DB8">
              <w:rPr>
                <w:iCs/>
              </w:rPr>
              <w:t xml:space="preserve"> </w:t>
            </w:r>
            <w:r w:rsidRPr="00821DB8">
              <w:rPr>
                <w:b/>
                <w:iCs/>
              </w:rPr>
              <w:t>Civil Society</w:t>
            </w:r>
            <w:r w:rsidRPr="00821DB8">
              <w:rPr>
                <w:b/>
                <w:iCs/>
              </w:rPr>
              <w:tab/>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CBOs (e.g. Fire volunteers, economic  groups)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Community Resource Management Committees, Forest Forums</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National &amp; International NGOs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Traditional Authorities – Chiefs, etc.</w:t>
            </w:r>
          </w:p>
          <w:p w:rsidR="00A4542D" w:rsidRPr="00821DB8" w:rsidRDefault="00A4542D" w:rsidP="00A4542D">
            <w:pPr>
              <w:numPr>
                <w:ilvl w:val="0"/>
                <w:numId w:val="16"/>
              </w:numPr>
              <w:tabs>
                <w:tab w:val="num" w:pos="360"/>
              </w:tabs>
              <w:spacing w:line="260" w:lineRule="atLeast"/>
              <w:ind w:left="360"/>
              <w:jc w:val="both"/>
              <w:rPr>
                <w:iCs/>
              </w:rPr>
            </w:pPr>
            <w:r w:rsidRPr="00821DB8">
              <w:rPr>
                <w:iCs/>
              </w:rPr>
              <w:t xml:space="preserve">Professional Associations – Ghana Institute of Foresters,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Trade Unions</w:t>
            </w:r>
            <w:r w:rsidR="00B75598">
              <w:rPr>
                <w:iCs/>
              </w:rPr>
              <w:t>’</w:t>
            </w:r>
            <w:r w:rsidRPr="00821DB8">
              <w:rPr>
                <w:iCs/>
              </w:rPr>
              <w:t xml:space="preserve"> Associations, FOSSA, Students’ Unions, </w:t>
            </w:r>
          </w:p>
          <w:p w:rsidR="00A4542D" w:rsidRPr="00821DB8" w:rsidRDefault="00A4542D" w:rsidP="00A4542D">
            <w:pPr>
              <w:numPr>
                <w:ilvl w:val="0"/>
                <w:numId w:val="16"/>
              </w:numPr>
              <w:tabs>
                <w:tab w:val="num" w:pos="360"/>
              </w:tabs>
              <w:spacing w:line="260" w:lineRule="atLeast"/>
              <w:ind w:left="360"/>
              <w:jc w:val="both"/>
              <w:rPr>
                <w:iCs/>
              </w:rPr>
            </w:pPr>
            <w:r w:rsidRPr="00821DB8">
              <w:rPr>
                <w:iCs/>
              </w:rPr>
              <w:t>Research &amp; Academic organisations</w:t>
            </w:r>
          </w:p>
          <w:p w:rsidR="00A4542D" w:rsidRDefault="00A4542D" w:rsidP="00A4542D">
            <w:pPr>
              <w:numPr>
                <w:ilvl w:val="0"/>
                <w:numId w:val="16"/>
              </w:numPr>
              <w:tabs>
                <w:tab w:val="num" w:pos="360"/>
              </w:tabs>
              <w:spacing w:line="260" w:lineRule="atLeast"/>
              <w:ind w:left="360"/>
              <w:jc w:val="both"/>
              <w:rPr>
                <w:iCs/>
              </w:rPr>
            </w:pPr>
            <w:r w:rsidRPr="00821DB8">
              <w:rPr>
                <w:iCs/>
              </w:rPr>
              <w:t>Religious bodies</w:t>
            </w:r>
          </w:p>
          <w:p w:rsidR="00B75598" w:rsidRDefault="00B75598" w:rsidP="00A4542D">
            <w:pPr>
              <w:numPr>
                <w:ilvl w:val="0"/>
                <w:numId w:val="16"/>
              </w:numPr>
              <w:tabs>
                <w:tab w:val="num" w:pos="360"/>
              </w:tabs>
              <w:spacing w:line="260" w:lineRule="atLeast"/>
              <w:ind w:left="360"/>
              <w:jc w:val="both"/>
              <w:rPr>
                <w:iCs/>
              </w:rPr>
            </w:pPr>
            <w:r>
              <w:rPr>
                <w:iCs/>
              </w:rPr>
              <w:t>Associations of People Living with Disabilities</w:t>
            </w:r>
          </w:p>
          <w:p w:rsidR="00B75598" w:rsidRPr="00821DB8" w:rsidRDefault="00B75598" w:rsidP="00A4542D">
            <w:pPr>
              <w:numPr>
                <w:ilvl w:val="0"/>
                <w:numId w:val="16"/>
              </w:numPr>
              <w:tabs>
                <w:tab w:val="num" w:pos="360"/>
              </w:tabs>
              <w:spacing w:line="260" w:lineRule="atLeast"/>
              <w:ind w:left="360"/>
              <w:jc w:val="both"/>
              <w:rPr>
                <w:iCs/>
              </w:rPr>
            </w:pPr>
            <w:r>
              <w:rPr>
                <w:iCs/>
              </w:rPr>
              <w:lastRenderedPageBreak/>
              <w:t>Forest Forums (District, Regional, National)</w:t>
            </w:r>
          </w:p>
          <w:p w:rsidR="00A4542D" w:rsidRPr="00821DB8" w:rsidRDefault="00A4542D" w:rsidP="007D66B5">
            <w:pPr>
              <w:rPr>
                <w:iCs/>
              </w:rPr>
            </w:pPr>
          </w:p>
          <w:p w:rsidR="00A4542D" w:rsidRPr="00821DB8" w:rsidRDefault="00A4542D" w:rsidP="007D66B5">
            <w:pPr>
              <w:rPr>
                <w:bCs/>
              </w:rPr>
            </w:pPr>
            <w:r w:rsidRPr="00821DB8">
              <w:rPr>
                <w:b/>
                <w:iCs/>
              </w:rPr>
              <w:t xml:space="preserve">  Development Partners</w:t>
            </w:r>
            <w:r w:rsidRPr="00821DB8">
              <w:rPr>
                <w:iCs/>
              </w:rPr>
              <w:t xml:space="preserve"> –bilateral and multilateral  donors</w:t>
            </w:r>
          </w:p>
        </w:tc>
      </w:tr>
    </w:tbl>
    <w:p w:rsidR="00B172EF" w:rsidRDefault="00B172EF" w:rsidP="00D36D6A">
      <w:pPr>
        <w:jc w:val="center"/>
      </w:pPr>
      <w:bookmarkStart w:id="1" w:name="_GoBack"/>
      <w:bookmarkEnd w:id="1"/>
    </w:p>
    <w:sectPr w:rsidR="00B172EF" w:rsidSect="00B172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B5" w:rsidRDefault="00AC64B5" w:rsidP="00A4542D">
      <w:r>
        <w:separator/>
      </w:r>
    </w:p>
  </w:endnote>
  <w:endnote w:type="continuationSeparator" w:id="0">
    <w:p w:rsidR="00AC64B5" w:rsidRDefault="00AC64B5" w:rsidP="00A4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1960"/>
      <w:docPartObj>
        <w:docPartGallery w:val="Page Numbers (Bottom of Page)"/>
        <w:docPartUnique/>
      </w:docPartObj>
    </w:sdtPr>
    <w:sdtEndPr/>
    <w:sdtContent>
      <w:p w:rsidR="00E204E0" w:rsidRDefault="00AC64B5">
        <w:pPr>
          <w:pStyle w:val="Footer"/>
          <w:jc w:val="right"/>
        </w:pPr>
        <w:r>
          <w:fldChar w:fldCharType="begin"/>
        </w:r>
        <w:r>
          <w:instrText xml:space="preserve"> PAGE   \* MERGEFORMAT </w:instrText>
        </w:r>
        <w:r>
          <w:fldChar w:fldCharType="separate"/>
        </w:r>
        <w:r w:rsidR="002E200F">
          <w:rPr>
            <w:noProof/>
          </w:rPr>
          <w:t>17</w:t>
        </w:r>
        <w:r>
          <w:rPr>
            <w:noProof/>
          </w:rPr>
          <w:fldChar w:fldCharType="end"/>
        </w:r>
      </w:p>
    </w:sdtContent>
  </w:sdt>
  <w:p w:rsidR="00E204E0" w:rsidRDefault="00E2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B5" w:rsidRDefault="00AC64B5" w:rsidP="00A4542D">
      <w:r>
        <w:separator/>
      </w:r>
    </w:p>
  </w:footnote>
  <w:footnote w:type="continuationSeparator" w:id="0">
    <w:p w:rsidR="00AC64B5" w:rsidRDefault="00AC64B5" w:rsidP="00A4542D">
      <w:r>
        <w:continuationSeparator/>
      </w:r>
    </w:p>
  </w:footnote>
  <w:footnote w:id="1">
    <w:p w:rsidR="00E204E0" w:rsidRDefault="00E204E0">
      <w:pPr>
        <w:pStyle w:val="FootnoteText"/>
      </w:pPr>
      <w:r w:rsidRPr="00101053">
        <w:rPr>
          <w:rStyle w:val="FootnoteReference"/>
        </w:rPr>
        <w:footnoteRef/>
      </w:r>
      <w:r w:rsidRPr="00101053">
        <w:t xml:space="preserve"> </w:t>
      </w:r>
      <w:r>
        <w:t>The Voluntary Partnership Agreement (VPA) started with a communication strategy that was prepared with advice from professional journalists. Forest Watch Ghana, an NGO coalition was provided with resources to bring together a so-called contact group in a workshop at which presentations on the different elements of the VPA were made, followed by discussions and inputs by the participants. This contact group was made up of representatives of different CSO groups, including trade associations, Forest Forums, community heads, landowners, people with disability, Trade Union Congress, research and academia among others. These people were subsequently resourced to engage with their respective constituencies. Some NGOs were also resourced to consult with communities from different parts of the country. Separate stakeholder-specific consultations were also held with the National House of Chiefs, the timber industry, and in some cases, with school and university students. There were also radio and TV discussions. Brochures were also prepared in three of the major languages in Ghana for distribution to stakeholders. The consultation and public participation of the VPA process in Ghana was supported by the VPA secretariat, DFID and the IUCN.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569"/>
    <w:multiLevelType w:val="hybridMultilevel"/>
    <w:tmpl w:val="66204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58697E"/>
    <w:multiLevelType w:val="hybridMultilevel"/>
    <w:tmpl w:val="453C62B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nsid w:val="04973FA8"/>
    <w:multiLevelType w:val="hybridMultilevel"/>
    <w:tmpl w:val="AA645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458B9"/>
    <w:multiLevelType w:val="hybridMultilevel"/>
    <w:tmpl w:val="926841D0"/>
    <w:lvl w:ilvl="0" w:tplc="0472E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81241"/>
    <w:multiLevelType w:val="hybridMultilevel"/>
    <w:tmpl w:val="EC924C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D77431"/>
    <w:multiLevelType w:val="hybridMultilevel"/>
    <w:tmpl w:val="B8CAAA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530DA"/>
    <w:multiLevelType w:val="hybridMultilevel"/>
    <w:tmpl w:val="A7E0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F4983"/>
    <w:multiLevelType w:val="hybridMultilevel"/>
    <w:tmpl w:val="E2382ED0"/>
    <w:lvl w:ilvl="0" w:tplc="A9189416">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DA4CAB"/>
    <w:multiLevelType w:val="hybridMultilevel"/>
    <w:tmpl w:val="24E25BCC"/>
    <w:lvl w:ilvl="0" w:tplc="A9189416">
      <w:start w:val="1"/>
      <w:numFmt w:val="bullet"/>
      <w:lvlText w:val="•"/>
      <w:lvlJc w:val="left"/>
      <w:pPr>
        <w:tabs>
          <w:tab w:val="num" w:pos="2160"/>
        </w:tabs>
        <w:ind w:left="216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D34F7C"/>
    <w:multiLevelType w:val="hybridMultilevel"/>
    <w:tmpl w:val="FDFAEB54"/>
    <w:lvl w:ilvl="0" w:tplc="9DA409B6">
      <w:start w:val="1"/>
      <w:numFmt w:val="decimal"/>
      <w:pStyle w:val="Nina2"/>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C5D7A"/>
    <w:multiLevelType w:val="hybridMultilevel"/>
    <w:tmpl w:val="C1F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C31DCD"/>
    <w:multiLevelType w:val="hybridMultilevel"/>
    <w:tmpl w:val="B5562F66"/>
    <w:lvl w:ilvl="0" w:tplc="1A06A826">
      <w:start w:val="1"/>
      <w:numFmt w:val="lowerLetter"/>
      <w:lvlText w:val="%1."/>
      <w:lvlJc w:val="left"/>
      <w:pPr>
        <w:ind w:left="720" w:hanging="360"/>
      </w:pPr>
      <w:rPr>
        <w:rFonts w:hint="default"/>
      </w:rPr>
    </w:lvl>
    <w:lvl w:ilvl="1" w:tplc="AE6AA06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E4FCB"/>
    <w:multiLevelType w:val="hybridMultilevel"/>
    <w:tmpl w:val="4CAAA102"/>
    <w:lvl w:ilvl="0" w:tplc="B0C022E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26514"/>
    <w:multiLevelType w:val="hybridMultilevel"/>
    <w:tmpl w:val="EC8C46B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4">
    <w:nsid w:val="208E1D7F"/>
    <w:multiLevelType w:val="hybridMultilevel"/>
    <w:tmpl w:val="6FC2F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99744C"/>
    <w:multiLevelType w:val="hybridMultilevel"/>
    <w:tmpl w:val="968E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B220C"/>
    <w:multiLevelType w:val="hybridMultilevel"/>
    <w:tmpl w:val="E004A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26442983"/>
    <w:multiLevelType w:val="hybridMultilevel"/>
    <w:tmpl w:val="72D6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2E3D52"/>
    <w:multiLevelType w:val="hybridMultilevel"/>
    <w:tmpl w:val="412476CE"/>
    <w:lvl w:ilvl="0" w:tplc="04090001">
      <w:start w:val="1"/>
      <w:numFmt w:val="bullet"/>
      <w:lvlText w:val=""/>
      <w:lvlJc w:val="left"/>
      <w:pPr>
        <w:tabs>
          <w:tab w:val="num" w:pos="567"/>
        </w:tabs>
        <w:ind w:left="55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E1A5B7E"/>
    <w:multiLevelType w:val="multilevel"/>
    <w:tmpl w:val="6C58E9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E1F15DD"/>
    <w:multiLevelType w:val="hybridMultilevel"/>
    <w:tmpl w:val="DEC8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F417DE9"/>
    <w:multiLevelType w:val="hybridMultilevel"/>
    <w:tmpl w:val="BFDCD572"/>
    <w:lvl w:ilvl="0" w:tplc="7044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3F03CB"/>
    <w:multiLevelType w:val="multilevel"/>
    <w:tmpl w:val="7D04734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540" w:firstLine="0"/>
      </w:pPr>
      <w:rPr>
        <w:rFonts w:ascii="Times New Roman" w:hAnsi="Times New Roman"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319439E6"/>
    <w:multiLevelType w:val="multilevel"/>
    <w:tmpl w:val="65669098"/>
    <w:lvl w:ilvl="0">
      <w:start w:val="1"/>
      <w:numFmt w:val="none"/>
      <w:pStyle w:val="Sub-Para3underX"/>
      <w:suff w:val="nothing"/>
      <w:lvlText w:val="%1"/>
      <w:lvlJc w:val="left"/>
      <w:pPr>
        <w:ind w:left="0" w:firstLine="0"/>
      </w:pPr>
      <w:rPr>
        <w:rFonts w:hint="default"/>
      </w:rPr>
    </w:lvl>
    <w:lvl w:ilvl="1">
      <w:start w:val="1"/>
      <w:numFmt w:val="decimal"/>
      <w:pStyle w:val="Sub-Para4underX"/>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2506884"/>
    <w:multiLevelType w:val="hybridMultilevel"/>
    <w:tmpl w:val="C15687EC"/>
    <w:lvl w:ilvl="0" w:tplc="7B109104">
      <w:start w:val="199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101AB9"/>
    <w:multiLevelType w:val="hybridMultilevel"/>
    <w:tmpl w:val="407AD9CA"/>
    <w:lvl w:ilvl="0" w:tplc="04090001">
      <w:start w:val="2"/>
      <w:numFmt w:val="bullet"/>
      <w:lvlText w:val=""/>
      <w:lvlJc w:val="left"/>
      <w:pPr>
        <w:ind w:left="720" w:hanging="360"/>
      </w:pPr>
      <w:rPr>
        <w:rFonts w:ascii="Symbol" w:eastAsia="Times New Roman" w:hAnsi="Symbol"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7E7183"/>
    <w:multiLevelType w:val="hybridMultilevel"/>
    <w:tmpl w:val="46B26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5765C9"/>
    <w:multiLevelType w:val="hybridMultilevel"/>
    <w:tmpl w:val="3154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877B05"/>
    <w:multiLevelType w:val="hybridMultilevel"/>
    <w:tmpl w:val="60F05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A90988"/>
    <w:multiLevelType w:val="multilevel"/>
    <w:tmpl w:val="293EBC8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0">
    <w:nsid w:val="37CF2FAB"/>
    <w:multiLevelType w:val="hybridMultilevel"/>
    <w:tmpl w:val="FDECF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A481750"/>
    <w:multiLevelType w:val="hybridMultilevel"/>
    <w:tmpl w:val="F762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817D82"/>
    <w:multiLevelType w:val="hybridMultilevel"/>
    <w:tmpl w:val="91E8D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A51B09"/>
    <w:multiLevelType w:val="hybridMultilevel"/>
    <w:tmpl w:val="00A65DF6"/>
    <w:lvl w:ilvl="0" w:tplc="90847AA2">
      <w:start w:val="1"/>
      <w:numFmt w:val="bullet"/>
      <w:pStyle w:val="FRR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3FF85D9A"/>
    <w:multiLevelType w:val="hybridMultilevel"/>
    <w:tmpl w:val="2DDEF35C"/>
    <w:lvl w:ilvl="0" w:tplc="17A68AB0">
      <w:start w:val="1"/>
      <w:numFmt w:val="bullet"/>
      <w:lvlText w:val="•"/>
      <w:lvlJc w:val="left"/>
      <w:pPr>
        <w:tabs>
          <w:tab w:val="num" w:pos="720"/>
        </w:tabs>
        <w:ind w:left="720" w:hanging="360"/>
      </w:pPr>
      <w:rPr>
        <w:rFonts w:ascii="Arial" w:hAnsi="Arial" w:hint="default"/>
      </w:rPr>
    </w:lvl>
    <w:lvl w:ilvl="1" w:tplc="193A2AA4" w:tentative="1">
      <w:start w:val="1"/>
      <w:numFmt w:val="bullet"/>
      <w:lvlText w:val="•"/>
      <w:lvlJc w:val="left"/>
      <w:pPr>
        <w:tabs>
          <w:tab w:val="num" w:pos="1440"/>
        </w:tabs>
        <w:ind w:left="1440" w:hanging="360"/>
      </w:pPr>
      <w:rPr>
        <w:rFonts w:ascii="Arial" w:hAnsi="Arial" w:hint="default"/>
      </w:rPr>
    </w:lvl>
    <w:lvl w:ilvl="2" w:tplc="238409F0" w:tentative="1">
      <w:start w:val="1"/>
      <w:numFmt w:val="bullet"/>
      <w:lvlText w:val="•"/>
      <w:lvlJc w:val="left"/>
      <w:pPr>
        <w:tabs>
          <w:tab w:val="num" w:pos="2160"/>
        </w:tabs>
        <w:ind w:left="2160" w:hanging="360"/>
      </w:pPr>
      <w:rPr>
        <w:rFonts w:ascii="Arial" w:hAnsi="Arial" w:hint="default"/>
      </w:rPr>
    </w:lvl>
    <w:lvl w:ilvl="3" w:tplc="9DC286F6" w:tentative="1">
      <w:start w:val="1"/>
      <w:numFmt w:val="bullet"/>
      <w:lvlText w:val="•"/>
      <w:lvlJc w:val="left"/>
      <w:pPr>
        <w:tabs>
          <w:tab w:val="num" w:pos="2880"/>
        </w:tabs>
        <w:ind w:left="2880" w:hanging="360"/>
      </w:pPr>
      <w:rPr>
        <w:rFonts w:ascii="Arial" w:hAnsi="Arial" w:hint="default"/>
      </w:rPr>
    </w:lvl>
    <w:lvl w:ilvl="4" w:tplc="EF6A669A" w:tentative="1">
      <w:start w:val="1"/>
      <w:numFmt w:val="bullet"/>
      <w:lvlText w:val="•"/>
      <w:lvlJc w:val="left"/>
      <w:pPr>
        <w:tabs>
          <w:tab w:val="num" w:pos="3600"/>
        </w:tabs>
        <w:ind w:left="3600" w:hanging="360"/>
      </w:pPr>
      <w:rPr>
        <w:rFonts w:ascii="Arial" w:hAnsi="Arial" w:hint="default"/>
      </w:rPr>
    </w:lvl>
    <w:lvl w:ilvl="5" w:tplc="89585DB2" w:tentative="1">
      <w:start w:val="1"/>
      <w:numFmt w:val="bullet"/>
      <w:lvlText w:val="•"/>
      <w:lvlJc w:val="left"/>
      <w:pPr>
        <w:tabs>
          <w:tab w:val="num" w:pos="4320"/>
        </w:tabs>
        <w:ind w:left="4320" w:hanging="360"/>
      </w:pPr>
      <w:rPr>
        <w:rFonts w:ascii="Arial" w:hAnsi="Arial" w:hint="default"/>
      </w:rPr>
    </w:lvl>
    <w:lvl w:ilvl="6" w:tplc="CDCA42F2" w:tentative="1">
      <w:start w:val="1"/>
      <w:numFmt w:val="bullet"/>
      <w:lvlText w:val="•"/>
      <w:lvlJc w:val="left"/>
      <w:pPr>
        <w:tabs>
          <w:tab w:val="num" w:pos="5040"/>
        </w:tabs>
        <w:ind w:left="5040" w:hanging="360"/>
      </w:pPr>
      <w:rPr>
        <w:rFonts w:ascii="Arial" w:hAnsi="Arial" w:hint="default"/>
      </w:rPr>
    </w:lvl>
    <w:lvl w:ilvl="7" w:tplc="B826226C" w:tentative="1">
      <w:start w:val="1"/>
      <w:numFmt w:val="bullet"/>
      <w:lvlText w:val="•"/>
      <w:lvlJc w:val="left"/>
      <w:pPr>
        <w:tabs>
          <w:tab w:val="num" w:pos="5760"/>
        </w:tabs>
        <w:ind w:left="5760" w:hanging="360"/>
      </w:pPr>
      <w:rPr>
        <w:rFonts w:ascii="Arial" w:hAnsi="Arial" w:hint="default"/>
      </w:rPr>
    </w:lvl>
    <w:lvl w:ilvl="8" w:tplc="E50A3A42" w:tentative="1">
      <w:start w:val="1"/>
      <w:numFmt w:val="bullet"/>
      <w:lvlText w:val="•"/>
      <w:lvlJc w:val="left"/>
      <w:pPr>
        <w:tabs>
          <w:tab w:val="num" w:pos="6480"/>
        </w:tabs>
        <w:ind w:left="6480" w:hanging="360"/>
      </w:pPr>
      <w:rPr>
        <w:rFonts w:ascii="Arial" w:hAnsi="Arial" w:hint="default"/>
      </w:rPr>
    </w:lvl>
  </w:abstractNum>
  <w:abstractNum w:abstractNumId="35">
    <w:nsid w:val="473044F7"/>
    <w:multiLevelType w:val="hybridMultilevel"/>
    <w:tmpl w:val="F38E2A0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603F23"/>
    <w:multiLevelType w:val="hybridMultilevel"/>
    <w:tmpl w:val="14822A2E"/>
    <w:lvl w:ilvl="0" w:tplc="A06E1D82">
      <w:start w:val="1"/>
      <w:numFmt w:val="decimal"/>
      <w:lvlText w:val="%1)"/>
      <w:lvlJc w:val="left"/>
      <w:pPr>
        <w:ind w:left="360" w:hanging="360"/>
      </w:pPr>
      <w:rPr>
        <w:rFonts w:ascii="Calibri" w:eastAsia="SimSun" w:hAnsi="Calibri"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8FD6500"/>
    <w:multiLevelType w:val="hybridMultilevel"/>
    <w:tmpl w:val="F80CB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324F9D"/>
    <w:multiLevelType w:val="singleLevel"/>
    <w:tmpl w:val="04090017"/>
    <w:lvl w:ilvl="0">
      <w:start w:val="1"/>
      <w:numFmt w:val="lowerLetter"/>
      <w:lvlText w:val="%1)"/>
      <w:lvlJc w:val="left"/>
      <w:pPr>
        <w:tabs>
          <w:tab w:val="num" w:pos="360"/>
        </w:tabs>
        <w:ind w:left="360" w:hanging="360"/>
      </w:pPr>
    </w:lvl>
  </w:abstractNum>
  <w:abstractNum w:abstractNumId="39">
    <w:nsid w:val="4B007950"/>
    <w:multiLevelType w:val="hybridMultilevel"/>
    <w:tmpl w:val="A3DCB1D4"/>
    <w:lvl w:ilvl="0" w:tplc="83A274EC">
      <w:start w:val="1"/>
      <w:numFmt w:val="bullet"/>
      <w:lvlText w:val="•"/>
      <w:lvlJc w:val="left"/>
      <w:pPr>
        <w:tabs>
          <w:tab w:val="num" w:pos="720"/>
        </w:tabs>
        <w:ind w:left="720" w:hanging="360"/>
      </w:pPr>
      <w:rPr>
        <w:rFonts w:ascii="Arial" w:hAnsi="Arial" w:hint="default"/>
      </w:rPr>
    </w:lvl>
    <w:lvl w:ilvl="1" w:tplc="EB8CFB06" w:tentative="1">
      <w:start w:val="1"/>
      <w:numFmt w:val="bullet"/>
      <w:lvlText w:val="•"/>
      <w:lvlJc w:val="left"/>
      <w:pPr>
        <w:tabs>
          <w:tab w:val="num" w:pos="1440"/>
        </w:tabs>
        <w:ind w:left="1440" w:hanging="360"/>
      </w:pPr>
      <w:rPr>
        <w:rFonts w:ascii="Arial" w:hAnsi="Arial" w:hint="default"/>
      </w:rPr>
    </w:lvl>
    <w:lvl w:ilvl="2" w:tplc="BBC60DD8" w:tentative="1">
      <w:start w:val="1"/>
      <w:numFmt w:val="bullet"/>
      <w:lvlText w:val="•"/>
      <w:lvlJc w:val="left"/>
      <w:pPr>
        <w:tabs>
          <w:tab w:val="num" w:pos="2160"/>
        </w:tabs>
        <w:ind w:left="2160" w:hanging="360"/>
      </w:pPr>
      <w:rPr>
        <w:rFonts w:ascii="Arial" w:hAnsi="Arial" w:hint="default"/>
      </w:rPr>
    </w:lvl>
    <w:lvl w:ilvl="3" w:tplc="91BC43B6" w:tentative="1">
      <w:start w:val="1"/>
      <w:numFmt w:val="bullet"/>
      <w:lvlText w:val="•"/>
      <w:lvlJc w:val="left"/>
      <w:pPr>
        <w:tabs>
          <w:tab w:val="num" w:pos="2880"/>
        </w:tabs>
        <w:ind w:left="2880" w:hanging="360"/>
      </w:pPr>
      <w:rPr>
        <w:rFonts w:ascii="Arial" w:hAnsi="Arial" w:hint="default"/>
      </w:rPr>
    </w:lvl>
    <w:lvl w:ilvl="4" w:tplc="F9B88948" w:tentative="1">
      <w:start w:val="1"/>
      <w:numFmt w:val="bullet"/>
      <w:lvlText w:val="•"/>
      <w:lvlJc w:val="left"/>
      <w:pPr>
        <w:tabs>
          <w:tab w:val="num" w:pos="3600"/>
        </w:tabs>
        <w:ind w:left="3600" w:hanging="360"/>
      </w:pPr>
      <w:rPr>
        <w:rFonts w:ascii="Arial" w:hAnsi="Arial" w:hint="default"/>
      </w:rPr>
    </w:lvl>
    <w:lvl w:ilvl="5" w:tplc="2BEA2206" w:tentative="1">
      <w:start w:val="1"/>
      <w:numFmt w:val="bullet"/>
      <w:lvlText w:val="•"/>
      <w:lvlJc w:val="left"/>
      <w:pPr>
        <w:tabs>
          <w:tab w:val="num" w:pos="4320"/>
        </w:tabs>
        <w:ind w:left="4320" w:hanging="360"/>
      </w:pPr>
      <w:rPr>
        <w:rFonts w:ascii="Arial" w:hAnsi="Arial" w:hint="default"/>
      </w:rPr>
    </w:lvl>
    <w:lvl w:ilvl="6" w:tplc="97C4E93C" w:tentative="1">
      <w:start w:val="1"/>
      <w:numFmt w:val="bullet"/>
      <w:lvlText w:val="•"/>
      <w:lvlJc w:val="left"/>
      <w:pPr>
        <w:tabs>
          <w:tab w:val="num" w:pos="5040"/>
        </w:tabs>
        <w:ind w:left="5040" w:hanging="360"/>
      </w:pPr>
      <w:rPr>
        <w:rFonts w:ascii="Arial" w:hAnsi="Arial" w:hint="default"/>
      </w:rPr>
    </w:lvl>
    <w:lvl w:ilvl="7" w:tplc="612EA3CE" w:tentative="1">
      <w:start w:val="1"/>
      <w:numFmt w:val="bullet"/>
      <w:lvlText w:val="•"/>
      <w:lvlJc w:val="left"/>
      <w:pPr>
        <w:tabs>
          <w:tab w:val="num" w:pos="5760"/>
        </w:tabs>
        <w:ind w:left="5760" w:hanging="360"/>
      </w:pPr>
      <w:rPr>
        <w:rFonts w:ascii="Arial" w:hAnsi="Arial" w:hint="default"/>
      </w:rPr>
    </w:lvl>
    <w:lvl w:ilvl="8" w:tplc="9050D51C" w:tentative="1">
      <w:start w:val="1"/>
      <w:numFmt w:val="bullet"/>
      <w:lvlText w:val="•"/>
      <w:lvlJc w:val="left"/>
      <w:pPr>
        <w:tabs>
          <w:tab w:val="num" w:pos="6480"/>
        </w:tabs>
        <w:ind w:left="6480" w:hanging="360"/>
      </w:pPr>
      <w:rPr>
        <w:rFonts w:ascii="Arial" w:hAnsi="Arial" w:hint="default"/>
      </w:rPr>
    </w:lvl>
  </w:abstractNum>
  <w:abstractNum w:abstractNumId="40">
    <w:nsid w:val="4C92388A"/>
    <w:multiLevelType w:val="hybridMultilevel"/>
    <w:tmpl w:val="974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0D4B02"/>
    <w:multiLevelType w:val="hybridMultilevel"/>
    <w:tmpl w:val="8200AC1C"/>
    <w:lvl w:ilvl="0" w:tplc="1BC48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7F41A2"/>
    <w:multiLevelType w:val="hybridMultilevel"/>
    <w:tmpl w:val="37809EDE"/>
    <w:lvl w:ilvl="0" w:tplc="48E27ADA">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415EFC"/>
    <w:multiLevelType w:val="hybridMultilevel"/>
    <w:tmpl w:val="67F6B134"/>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44">
    <w:nsid w:val="53204C60"/>
    <w:multiLevelType w:val="hybridMultilevel"/>
    <w:tmpl w:val="CF323056"/>
    <w:lvl w:ilvl="0" w:tplc="D19614E2">
      <w:start w:val="5"/>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806F86"/>
    <w:multiLevelType w:val="multilevel"/>
    <w:tmpl w:val="537628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5483701E"/>
    <w:multiLevelType w:val="hybridMultilevel"/>
    <w:tmpl w:val="15B2B9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2D623F"/>
    <w:multiLevelType w:val="hybridMultilevel"/>
    <w:tmpl w:val="926841D0"/>
    <w:lvl w:ilvl="0" w:tplc="0472E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2A4BDF"/>
    <w:multiLevelType w:val="hybridMultilevel"/>
    <w:tmpl w:val="E91A504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2E07C6"/>
    <w:multiLevelType w:val="hybridMultilevel"/>
    <w:tmpl w:val="B08A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C16840"/>
    <w:multiLevelType w:val="hybridMultilevel"/>
    <w:tmpl w:val="08CA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D739C7"/>
    <w:multiLevelType w:val="multilevel"/>
    <w:tmpl w:val="848EA21A"/>
    <w:lvl w:ilvl="0">
      <w:start w:val="4"/>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2">
    <w:nsid w:val="62E53CD7"/>
    <w:multiLevelType w:val="hybridMultilevel"/>
    <w:tmpl w:val="8A72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41E2697"/>
    <w:multiLevelType w:val="hybridMultilevel"/>
    <w:tmpl w:val="3E94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5315B3"/>
    <w:multiLevelType w:val="hybridMultilevel"/>
    <w:tmpl w:val="63AC260A"/>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5D7236D"/>
    <w:multiLevelType w:val="multilevel"/>
    <w:tmpl w:val="9776218C"/>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6180258"/>
    <w:multiLevelType w:val="hybridMultilevel"/>
    <w:tmpl w:val="0F58F13A"/>
    <w:lvl w:ilvl="0" w:tplc="C0644F4C">
      <w:start w:val="1"/>
      <w:numFmt w:val="bullet"/>
      <w:lvlText w:val="•"/>
      <w:lvlJc w:val="left"/>
      <w:pPr>
        <w:tabs>
          <w:tab w:val="num" w:pos="720"/>
        </w:tabs>
        <w:ind w:left="720" w:hanging="360"/>
      </w:pPr>
      <w:rPr>
        <w:rFonts w:ascii="Arial" w:hAnsi="Arial" w:hint="default"/>
      </w:rPr>
    </w:lvl>
    <w:lvl w:ilvl="1" w:tplc="7B109104">
      <w:start w:val="1995"/>
      <w:numFmt w:val="bullet"/>
      <w:lvlText w:val="–"/>
      <w:lvlJc w:val="left"/>
      <w:pPr>
        <w:tabs>
          <w:tab w:val="num" w:pos="1440"/>
        </w:tabs>
        <w:ind w:left="1440" w:hanging="360"/>
      </w:pPr>
      <w:rPr>
        <w:rFonts w:ascii="Arial" w:hAnsi="Arial" w:hint="default"/>
      </w:rPr>
    </w:lvl>
    <w:lvl w:ilvl="2" w:tplc="A9189416">
      <w:start w:val="1"/>
      <w:numFmt w:val="bullet"/>
      <w:lvlText w:val="•"/>
      <w:lvlJc w:val="left"/>
      <w:pPr>
        <w:tabs>
          <w:tab w:val="num" w:pos="2160"/>
        </w:tabs>
        <w:ind w:left="2160" w:hanging="360"/>
      </w:pPr>
      <w:rPr>
        <w:rFonts w:ascii="Arial" w:hAnsi="Arial" w:hint="default"/>
      </w:rPr>
    </w:lvl>
    <w:lvl w:ilvl="3" w:tplc="A0128542" w:tentative="1">
      <w:start w:val="1"/>
      <w:numFmt w:val="bullet"/>
      <w:lvlText w:val="•"/>
      <w:lvlJc w:val="left"/>
      <w:pPr>
        <w:tabs>
          <w:tab w:val="num" w:pos="2880"/>
        </w:tabs>
        <w:ind w:left="2880" w:hanging="360"/>
      </w:pPr>
      <w:rPr>
        <w:rFonts w:ascii="Arial" w:hAnsi="Arial" w:hint="default"/>
      </w:rPr>
    </w:lvl>
    <w:lvl w:ilvl="4" w:tplc="AFD884BE" w:tentative="1">
      <w:start w:val="1"/>
      <w:numFmt w:val="bullet"/>
      <w:lvlText w:val="•"/>
      <w:lvlJc w:val="left"/>
      <w:pPr>
        <w:tabs>
          <w:tab w:val="num" w:pos="3600"/>
        </w:tabs>
        <w:ind w:left="3600" w:hanging="360"/>
      </w:pPr>
      <w:rPr>
        <w:rFonts w:ascii="Arial" w:hAnsi="Arial" w:hint="default"/>
      </w:rPr>
    </w:lvl>
    <w:lvl w:ilvl="5" w:tplc="10EA2460" w:tentative="1">
      <w:start w:val="1"/>
      <w:numFmt w:val="bullet"/>
      <w:lvlText w:val="•"/>
      <w:lvlJc w:val="left"/>
      <w:pPr>
        <w:tabs>
          <w:tab w:val="num" w:pos="4320"/>
        </w:tabs>
        <w:ind w:left="4320" w:hanging="360"/>
      </w:pPr>
      <w:rPr>
        <w:rFonts w:ascii="Arial" w:hAnsi="Arial" w:hint="default"/>
      </w:rPr>
    </w:lvl>
    <w:lvl w:ilvl="6" w:tplc="E898BAD0" w:tentative="1">
      <w:start w:val="1"/>
      <w:numFmt w:val="bullet"/>
      <w:lvlText w:val="•"/>
      <w:lvlJc w:val="left"/>
      <w:pPr>
        <w:tabs>
          <w:tab w:val="num" w:pos="5040"/>
        </w:tabs>
        <w:ind w:left="5040" w:hanging="360"/>
      </w:pPr>
      <w:rPr>
        <w:rFonts w:ascii="Arial" w:hAnsi="Arial" w:hint="default"/>
      </w:rPr>
    </w:lvl>
    <w:lvl w:ilvl="7" w:tplc="689ED0FC" w:tentative="1">
      <w:start w:val="1"/>
      <w:numFmt w:val="bullet"/>
      <w:lvlText w:val="•"/>
      <w:lvlJc w:val="left"/>
      <w:pPr>
        <w:tabs>
          <w:tab w:val="num" w:pos="5760"/>
        </w:tabs>
        <w:ind w:left="5760" w:hanging="360"/>
      </w:pPr>
      <w:rPr>
        <w:rFonts w:ascii="Arial" w:hAnsi="Arial" w:hint="default"/>
      </w:rPr>
    </w:lvl>
    <w:lvl w:ilvl="8" w:tplc="CC5C9AFC" w:tentative="1">
      <w:start w:val="1"/>
      <w:numFmt w:val="bullet"/>
      <w:lvlText w:val="•"/>
      <w:lvlJc w:val="left"/>
      <w:pPr>
        <w:tabs>
          <w:tab w:val="num" w:pos="6480"/>
        </w:tabs>
        <w:ind w:left="6480" w:hanging="360"/>
      </w:pPr>
      <w:rPr>
        <w:rFonts w:ascii="Arial" w:hAnsi="Arial" w:hint="default"/>
      </w:rPr>
    </w:lvl>
  </w:abstractNum>
  <w:abstractNum w:abstractNumId="57">
    <w:nsid w:val="66AA5955"/>
    <w:multiLevelType w:val="hybridMultilevel"/>
    <w:tmpl w:val="D3701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nsid w:val="689E4131"/>
    <w:multiLevelType w:val="hybridMultilevel"/>
    <w:tmpl w:val="6B64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C71F5F"/>
    <w:multiLevelType w:val="hybridMultilevel"/>
    <w:tmpl w:val="926841D0"/>
    <w:lvl w:ilvl="0" w:tplc="0472E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51152A"/>
    <w:multiLevelType w:val="hybridMultilevel"/>
    <w:tmpl w:val="2D047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EE77563"/>
    <w:multiLevelType w:val="hybridMultilevel"/>
    <w:tmpl w:val="4FD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6D1793"/>
    <w:multiLevelType w:val="hybridMultilevel"/>
    <w:tmpl w:val="11B2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C11663"/>
    <w:multiLevelType w:val="multilevel"/>
    <w:tmpl w:val="98D21ACC"/>
    <w:lvl w:ilvl="0">
      <w:start w:val="1"/>
      <w:numFmt w:val="upperRoman"/>
      <w:lvlText w:val="%1."/>
      <w:lvlJc w:val="right"/>
      <w:pPr>
        <w:ind w:left="360" w:hanging="360"/>
      </w:pPr>
      <w:rPr>
        <w:rFonts w:hint="default"/>
      </w:rPr>
    </w:lvl>
    <w:lvl w:ilvl="1">
      <w:start w:val="1"/>
      <w:numFmt w:val="decimal"/>
      <w:pStyle w:val="Sub-Para3underXY"/>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64">
    <w:nsid w:val="77F3787A"/>
    <w:multiLevelType w:val="multilevel"/>
    <w:tmpl w:val="8ACC4FEC"/>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7FF3BFB"/>
    <w:multiLevelType w:val="hybridMultilevel"/>
    <w:tmpl w:val="BA48E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260916"/>
    <w:multiLevelType w:val="hybridMultilevel"/>
    <w:tmpl w:val="926841D0"/>
    <w:lvl w:ilvl="0" w:tplc="0472EF0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2D2603"/>
    <w:multiLevelType w:val="hybridMultilevel"/>
    <w:tmpl w:val="D0447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nsid w:val="782D2C45"/>
    <w:multiLevelType w:val="hybridMultilevel"/>
    <w:tmpl w:val="3F0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9">
    <w:nsid w:val="792A062E"/>
    <w:multiLevelType w:val="hybridMultilevel"/>
    <w:tmpl w:val="87928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EA66BA7"/>
    <w:multiLevelType w:val="hybridMultilevel"/>
    <w:tmpl w:val="4C82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E30505"/>
    <w:multiLevelType w:val="hybridMultilevel"/>
    <w:tmpl w:val="25E07446"/>
    <w:lvl w:ilvl="0" w:tplc="0472EF0E">
      <w:start w:val="1"/>
      <w:numFmt w:val="bullet"/>
      <w:pStyle w:val="Bullet"/>
      <w:lvlText w:val=""/>
      <w:lvlJc w:val="left"/>
      <w:pPr>
        <w:tabs>
          <w:tab w:val="num" w:pos="1440"/>
        </w:tabs>
        <w:ind w:left="144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3"/>
  </w:num>
  <w:num w:numId="3">
    <w:abstractNumId w:val="71"/>
  </w:num>
  <w:num w:numId="4">
    <w:abstractNumId w:val="22"/>
  </w:num>
  <w:num w:numId="5">
    <w:abstractNumId w:val="19"/>
  </w:num>
  <w:num w:numId="6">
    <w:abstractNumId w:val="45"/>
  </w:num>
  <w:num w:numId="7">
    <w:abstractNumId w:val="55"/>
  </w:num>
  <w:num w:numId="8">
    <w:abstractNumId w:val="6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7"/>
  </w:num>
  <w:num w:numId="12">
    <w:abstractNumId w:val="25"/>
  </w:num>
  <w:num w:numId="13">
    <w:abstractNumId w:val="33"/>
  </w:num>
  <w:num w:numId="14">
    <w:abstractNumId w:val="68"/>
  </w:num>
  <w:num w:numId="15">
    <w:abstractNumId w:val="4"/>
  </w:num>
  <w:num w:numId="16">
    <w:abstractNumId w:val="1"/>
  </w:num>
  <w:num w:numId="17">
    <w:abstractNumId w:val="12"/>
  </w:num>
  <w:num w:numId="18">
    <w:abstractNumId w:val="20"/>
  </w:num>
  <w:num w:numId="19">
    <w:abstractNumId w:val="26"/>
  </w:num>
  <w:num w:numId="20">
    <w:abstractNumId w:val="9"/>
  </w:num>
  <w:num w:numId="21">
    <w:abstractNumId w:val="32"/>
  </w:num>
  <w:num w:numId="22">
    <w:abstractNumId w:val="3"/>
  </w:num>
  <w:num w:numId="23">
    <w:abstractNumId w:val="59"/>
  </w:num>
  <w:num w:numId="24">
    <w:abstractNumId w:val="66"/>
  </w:num>
  <w:num w:numId="25">
    <w:abstractNumId w:val="17"/>
  </w:num>
  <w:num w:numId="26">
    <w:abstractNumId w:val="30"/>
  </w:num>
  <w:num w:numId="27">
    <w:abstractNumId w:val="60"/>
  </w:num>
  <w:num w:numId="28">
    <w:abstractNumId w:val="52"/>
  </w:num>
  <w:num w:numId="29">
    <w:abstractNumId w:val="14"/>
  </w:num>
  <w:num w:numId="30">
    <w:abstractNumId w:val="56"/>
  </w:num>
  <w:num w:numId="31">
    <w:abstractNumId w:val="42"/>
  </w:num>
  <w:num w:numId="32">
    <w:abstractNumId w:val="37"/>
  </w:num>
  <w:num w:numId="33">
    <w:abstractNumId w:val="6"/>
  </w:num>
  <w:num w:numId="34">
    <w:abstractNumId w:val="5"/>
  </w:num>
  <w:num w:numId="35">
    <w:abstractNumId w:val="65"/>
  </w:num>
  <w:num w:numId="36">
    <w:abstractNumId w:val="50"/>
  </w:num>
  <w:num w:numId="37">
    <w:abstractNumId w:val="46"/>
  </w:num>
  <w:num w:numId="38">
    <w:abstractNumId w:val="53"/>
  </w:num>
  <w:num w:numId="39">
    <w:abstractNumId w:val="61"/>
  </w:num>
  <w:num w:numId="40">
    <w:abstractNumId w:val="27"/>
  </w:num>
  <w:num w:numId="41">
    <w:abstractNumId w:val="40"/>
  </w:num>
  <w:num w:numId="42">
    <w:abstractNumId w:val="70"/>
  </w:num>
  <w:num w:numId="43">
    <w:abstractNumId w:val="15"/>
  </w:num>
  <w:num w:numId="44">
    <w:abstractNumId w:val="10"/>
  </w:num>
  <w:num w:numId="45">
    <w:abstractNumId w:val="62"/>
  </w:num>
  <w:num w:numId="46">
    <w:abstractNumId w:val="41"/>
  </w:num>
  <w:num w:numId="47">
    <w:abstractNumId w:val="44"/>
  </w:num>
  <w:num w:numId="48">
    <w:abstractNumId w:val="39"/>
  </w:num>
  <w:num w:numId="49">
    <w:abstractNumId w:val="34"/>
  </w:num>
  <w:num w:numId="50">
    <w:abstractNumId w:val="69"/>
  </w:num>
  <w:num w:numId="51">
    <w:abstractNumId w:val="57"/>
  </w:num>
  <w:num w:numId="52">
    <w:abstractNumId w:val="54"/>
  </w:num>
  <w:num w:numId="53">
    <w:abstractNumId w:val="31"/>
  </w:num>
  <w:num w:numId="54">
    <w:abstractNumId w:val="67"/>
  </w:num>
  <w:num w:numId="55">
    <w:abstractNumId w:val="8"/>
  </w:num>
  <w:num w:numId="56">
    <w:abstractNumId w:val="7"/>
  </w:num>
  <w:num w:numId="57">
    <w:abstractNumId w:val="16"/>
  </w:num>
  <w:num w:numId="58">
    <w:abstractNumId w:val="18"/>
  </w:num>
  <w:num w:numId="59">
    <w:abstractNumId w:val="29"/>
  </w:num>
  <w:num w:numId="60">
    <w:abstractNumId w:val="51"/>
  </w:num>
  <w:num w:numId="61">
    <w:abstractNumId w:val="36"/>
  </w:num>
  <w:num w:numId="62">
    <w:abstractNumId w:val="24"/>
  </w:num>
  <w:num w:numId="63">
    <w:abstractNumId w:val="48"/>
  </w:num>
  <w:num w:numId="64">
    <w:abstractNumId w:val="58"/>
  </w:num>
  <w:num w:numId="65">
    <w:abstractNumId w:val="0"/>
  </w:num>
  <w:num w:numId="66">
    <w:abstractNumId w:val="43"/>
  </w:num>
  <w:num w:numId="67">
    <w:abstractNumId w:val="13"/>
  </w:num>
  <w:num w:numId="68">
    <w:abstractNumId w:val="38"/>
  </w:num>
  <w:num w:numId="69">
    <w:abstractNumId w:val="28"/>
  </w:num>
  <w:num w:numId="70">
    <w:abstractNumId w:val="21"/>
  </w:num>
  <w:num w:numId="71">
    <w:abstractNumId w:val="2"/>
  </w:num>
  <w:num w:numId="72">
    <w:abstractNumId w:val="35"/>
  </w:num>
  <w:num w:numId="73">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2D"/>
    <w:rsid w:val="0000046E"/>
    <w:rsid w:val="00000949"/>
    <w:rsid w:val="00000B88"/>
    <w:rsid w:val="00005E23"/>
    <w:rsid w:val="0000728D"/>
    <w:rsid w:val="000138A7"/>
    <w:rsid w:val="0001416B"/>
    <w:rsid w:val="00015DD1"/>
    <w:rsid w:val="000178AE"/>
    <w:rsid w:val="00020CFA"/>
    <w:rsid w:val="00022791"/>
    <w:rsid w:val="00023414"/>
    <w:rsid w:val="00023E9F"/>
    <w:rsid w:val="00024A7F"/>
    <w:rsid w:val="000319B5"/>
    <w:rsid w:val="0003279E"/>
    <w:rsid w:val="000327D1"/>
    <w:rsid w:val="00033841"/>
    <w:rsid w:val="00034B59"/>
    <w:rsid w:val="000377D0"/>
    <w:rsid w:val="00037D50"/>
    <w:rsid w:val="00037E16"/>
    <w:rsid w:val="0004167E"/>
    <w:rsid w:val="00043E18"/>
    <w:rsid w:val="000445A8"/>
    <w:rsid w:val="00046204"/>
    <w:rsid w:val="00051A39"/>
    <w:rsid w:val="00052B84"/>
    <w:rsid w:val="0005359D"/>
    <w:rsid w:val="0005373B"/>
    <w:rsid w:val="00055EE6"/>
    <w:rsid w:val="000566D5"/>
    <w:rsid w:val="00061377"/>
    <w:rsid w:val="00061464"/>
    <w:rsid w:val="00062211"/>
    <w:rsid w:val="00062AC6"/>
    <w:rsid w:val="00062D6A"/>
    <w:rsid w:val="000637D9"/>
    <w:rsid w:val="00064673"/>
    <w:rsid w:val="00064803"/>
    <w:rsid w:val="00065BCB"/>
    <w:rsid w:val="00066C32"/>
    <w:rsid w:val="00066F3D"/>
    <w:rsid w:val="00067E89"/>
    <w:rsid w:val="0007059B"/>
    <w:rsid w:val="00070987"/>
    <w:rsid w:val="00071210"/>
    <w:rsid w:val="00071C03"/>
    <w:rsid w:val="00072945"/>
    <w:rsid w:val="00073865"/>
    <w:rsid w:val="00076074"/>
    <w:rsid w:val="000768B5"/>
    <w:rsid w:val="000773A4"/>
    <w:rsid w:val="00081B81"/>
    <w:rsid w:val="00082D68"/>
    <w:rsid w:val="00083F87"/>
    <w:rsid w:val="00084E53"/>
    <w:rsid w:val="0008521C"/>
    <w:rsid w:val="0008593A"/>
    <w:rsid w:val="0008639D"/>
    <w:rsid w:val="00090041"/>
    <w:rsid w:val="000941FB"/>
    <w:rsid w:val="000949EE"/>
    <w:rsid w:val="00095C10"/>
    <w:rsid w:val="00095CFA"/>
    <w:rsid w:val="0009751A"/>
    <w:rsid w:val="00097C52"/>
    <w:rsid w:val="000A0661"/>
    <w:rsid w:val="000A0ED4"/>
    <w:rsid w:val="000A2F15"/>
    <w:rsid w:val="000A2FD7"/>
    <w:rsid w:val="000A322C"/>
    <w:rsid w:val="000A364C"/>
    <w:rsid w:val="000A39DA"/>
    <w:rsid w:val="000A521B"/>
    <w:rsid w:val="000A5699"/>
    <w:rsid w:val="000A6387"/>
    <w:rsid w:val="000A6763"/>
    <w:rsid w:val="000A6923"/>
    <w:rsid w:val="000A6DF6"/>
    <w:rsid w:val="000B1CB4"/>
    <w:rsid w:val="000B4EBA"/>
    <w:rsid w:val="000B5911"/>
    <w:rsid w:val="000B5FC1"/>
    <w:rsid w:val="000B7054"/>
    <w:rsid w:val="000B774C"/>
    <w:rsid w:val="000B7CE0"/>
    <w:rsid w:val="000C0AE9"/>
    <w:rsid w:val="000C2DF0"/>
    <w:rsid w:val="000C3162"/>
    <w:rsid w:val="000C349F"/>
    <w:rsid w:val="000C50A5"/>
    <w:rsid w:val="000C765E"/>
    <w:rsid w:val="000D19FE"/>
    <w:rsid w:val="000D1BCB"/>
    <w:rsid w:val="000D232B"/>
    <w:rsid w:val="000D3E4E"/>
    <w:rsid w:val="000D55B2"/>
    <w:rsid w:val="000D786C"/>
    <w:rsid w:val="000D7F84"/>
    <w:rsid w:val="000E10DD"/>
    <w:rsid w:val="000E2383"/>
    <w:rsid w:val="000E2813"/>
    <w:rsid w:val="000E2861"/>
    <w:rsid w:val="000E35E8"/>
    <w:rsid w:val="000E3610"/>
    <w:rsid w:val="000E4D05"/>
    <w:rsid w:val="000E64B7"/>
    <w:rsid w:val="000E7E0D"/>
    <w:rsid w:val="000F1B59"/>
    <w:rsid w:val="000F206E"/>
    <w:rsid w:val="000F2779"/>
    <w:rsid w:val="000F3329"/>
    <w:rsid w:val="000F4426"/>
    <w:rsid w:val="000F576F"/>
    <w:rsid w:val="000F5F24"/>
    <w:rsid w:val="000F6DB9"/>
    <w:rsid w:val="000F7877"/>
    <w:rsid w:val="00100E18"/>
    <w:rsid w:val="00100F5E"/>
    <w:rsid w:val="00101053"/>
    <w:rsid w:val="00101181"/>
    <w:rsid w:val="00101CD8"/>
    <w:rsid w:val="00101D95"/>
    <w:rsid w:val="00102121"/>
    <w:rsid w:val="0010231C"/>
    <w:rsid w:val="001034E5"/>
    <w:rsid w:val="00103D26"/>
    <w:rsid w:val="00105861"/>
    <w:rsid w:val="001059EB"/>
    <w:rsid w:val="00106085"/>
    <w:rsid w:val="00110204"/>
    <w:rsid w:val="0011076B"/>
    <w:rsid w:val="00112D2E"/>
    <w:rsid w:val="001138E8"/>
    <w:rsid w:val="00113C5C"/>
    <w:rsid w:val="00114D3E"/>
    <w:rsid w:val="00115494"/>
    <w:rsid w:val="00115F39"/>
    <w:rsid w:val="0011607B"/>
    <w:rsid w:val="001165DE"/>
    <w:rsid w:val="001202BE"/>
    <w:rsid w:val="00121FF1"/>
    <w:rsid w:val="0012274B"/>
    <w:rsid w:val="001249A0"/>
    <w:rsid w:val="00124CC5"/>
    <w:rsid w:val="001256F6"/>
    <w:rsid w:val="0012593F"/>
    <w:rsid w:val="001332D4"/>
    <w:rsid w:val="00133A66"/>
    <w:rsid w:val="00137F66"/>
    <w:rsid w:val="00141050"/>
    <w:rsid w:val="001427E6"/>
    <w:rsid w:val="001448AE"/>
    <w:rsid w:val="00145595"/>
    <w:rsid w:val="00145E53"/>
    <w:rsid w:val="001461EB"/>
    <w:rsid w:val="001506F4"/>
    <w:rsid w:val="00150F41"/>
    <w:rsid w:val="00151FA9"/>
    <w:rsid w:val="001527C1"/>
    <w:rsid w:val="001538CE"/>
    <w:rsid w:val="00153A24"/>
    <w:rsid w:val="00154B33"/>
    <w:rsid w:val="00155827"/>
    <w:rsid w:val="001567B3"/>
    <w:rsid w:val="0016226D"/>
    <w:rsid w:val="00165907"/>
    <w:rsid w:val="0016634D"/>
    <w:rsid w:val="00170FA4"/>
    <w:rsid w:val="00172DD6"/>
    <w:rsid w:val="0017595F"/>
    <w:rsid w:val="00177B70"/>
    <w:rsid w:val="001820A8"/>
    <w:rsid w:val="00183B98"/>
    <w:rsid w:val="001849FE"/>
    <w:rsid w:val="00184CB0"/>
    <w:rsid w:val="00184EF7"/>
    <w:rsid w:val="0018586F"/>
    <w:rsid w:val="001879D7"/>
    <w:rsid w:val="00190A21"/>
    <w:rsid w:val="001911E1"/>
    <w:rsid w:val="00191F07"/>
    <w:rsid w:val="001934E9"/>
    <w:rsid w:val="001947DE"/>
    <w:rsid w:val="0019797D"/>
    <w:rsid w:val="00197DA4"/>
    <w:rsid w:val="00197E88"/>
    <w:rsid w:val="001A3130"/>
    <w:rsid w:val="001A45FB"/>
    <w:rsid w:val="001A5360"/>
    <w:rsid w:val="001A60ED"/>
    <w:rsid w:val="001A6344"/>
    <w:rsid w:val="001A77C4"/>
    <w:rsid w:val="001A780F"/>
    <w:rsid w:val="001B00C3"/>
    <w:rsid w:val="001B1CB7"/>
    <w:rsid w:val="001B32B5"/>
    <w:rsid w:val="001B43E3"/>
    <w:rsid w:val="001B5540"/>
    <w:rsid w:val="001B578D"/>
    <w:rsid w:val="001C1257"/>
    <w:rsid w:val="001C1D8D"/>
    <w:rsid w:val="001C2046"/>
    <w:rsid w:val="001C2698"/>
    <w:rsid w:val="001C5CB7"/>
    <w:rsid w:val="001C7CA2"/>
    <w:rsid w:val="001D1F8F"/>
    <w:rsid w:val="001D1FC2"/>
    <w:rsid w:val="001D2B6C"/>
    <w:rsid w:val="001D3546"/>
    <w:rsid w:val="001D61AA"/>
    <w:rsid w:val="001D7265"/>
    <w:rsid w:val="001D7A42"/>
    <w:rsid w:val="001D7D3D"/>
    <w:rsid w:val="001E03C3"/>
    <w:rsid w:val="001E04F4"/>
    <w:rsid w:val="001E0B01"/>
    <w:rsid w:val="001E111C"/>
    <w:rsid w:val="001E15DC"/>
    <w:rsid w:val="001E3605"/>
    <w:rsid w:val="001E3F88"/>
    <w:rsid w:val="001E4A53"/>
    <w:rsid w:val="001E543C"/>
    <w:rsid w:val="001F038C"/>
    <w:rsid w:val="001F0C80"/>
    <w:rsid w:val="001F2662"/>
    <w:rsid w:val="001F47E2"/>
    <w:rsid w:val="001F5F28"/>
    <w:rsid w:val="00200A0C"/>
    <w:rsid w:val="00200FC4"/>
    <w:rsid w:val="00202E71"/>
    <w:rsid w:val="00204412"/>
    <w:rsid w:val="0020517F"/>
    <w:rsid w:val="00205E60"/>
    <w:rsid w:val="00206212"/>
    <w:rsid w:val="002075E2"/>
    <w:rsid w:val="00210375"/>
    <w:rsid w:val="002106D4"/>
    <w:rsid w:val="00210778"/>
    <w:rsid w:val="0021113C"/>
    <w:rsid w:val="00211504"/>
    <w:rsid w:val="002116D2"/>
    <w:rsid w:val="00212490"/>
    <w:rsid w:val="00213431"/>
    <w:rsid w:val="00214014"/>
    <w:rsid w:val="00214865"/>
    <w:rsid w:val="002167D6"/>
    <w:rsid w:val="00217191"/>
    <w:rsid w:val="0022092F"/>
    <w:rsid w:val="002218FD"/>
    <w:rsid w:val="00223127"/>
    <w:rsid w:val="00223628"/>
    <w:rsid w:val="0022555C"/>
    <w:rsid w:val="002259DB"/>
    <w:rsid w:val="002270AC"/>
    <w:rsid w:val="00230214"/>
    <w:rsid w:val="002304ED"/>
    <w:rsid w:val="002308DF"/>
    <w:rsid w:val="002319ED"/>
    <w:rsid w:val="00233F5F"/>
    <w:rsid w:val="002367FE"/>
    <w:rsid w:val="00236EF4"/>
    <w:rsid w:val="0024067F"/>
    <w:rsid w:val="00240EBA"/>
    <w:rsid w:val="002427BA"/>
    <w:rsid w:val="00242FE0"/>
    <w:rsid w:val="002432EF"/>
    <w:rsid w:val="00243FC5"/>
    <w:rsid w:val="00246840"/>
    <w:rsid w:val="0024717B"/>
    <w:rsid w:val="00251AA6"/>
    <w:rsid w:val="00252B68"/>
    <w:rsid w:val="00253903"/>
    <w:rsid w:val="002539ED"/>
    <w:rsid w:val="00253AD4"/>
    <w:rsid w:val="00253B8F"/>
    <w:rsid w:val="00253CA5"/>
    <w:rsid w:val="00254D2B"/>
    <w:rsid w:val="00256D7A"/>
    <w:rsid w:val="0025763B"/>
    <w:rsid w:val="00261973"/>
    <w:rsid w:val="002633E9"/>
    <w:rsid w:val="00266410"/>
    <w:rsid w:val="00266B5F"/>
    <w:rsid w:val="00267494"/>
    <w:rsid w:val="0027027E"/>
    <w:rsid w:val="00272B5B"/>
    <w:rsid w:val="002745D7"/>
    <w:rsid w:val="00274988"/>
    <w:rsid w:val="002755B1"/>
    <w:rsid w:val="00277732"/>
    <w:rsid w:val="002777EC"/>
    <w:rsid w:val="00280466"/>
    <w:rsid w:val="00280645"/>
    <w:rsid w:val="00281242"/>
    <w:rsid w:val="002827CD"/>
    <w:rsid w:val="00282B18"/>
    <w:rsid w:val="002833DF"/>
    <w:rsid w:val="00284AC2"/>
    <w:rsid w:val="00285940"/>
    <w:rsid w:val="0028742C"/>
    <w:rsid w:val="002874F3"/>
    <w:rsid w:val="0028783C"/>
    <w:rsid w:val="002907BA"/>
    <w:rsid w:val="00292695"/>
    <w:rsid w:val="00293F2A"/>
    <w:rsid w:val="00294729"/>
    <w:rsid w:val="0029545D"/>
    <w:rsid w:val="00297237"/>
    <w:rsid w:val="002974EC"/>
    <w:rsid w:val="002A03B8"/>
    <w:rsid w:val="002A0D16"/>
    <w:rsid w:val="002A30A2"/>
    <w:rsid w:val="002A5332"/>
    <w:rsid w:val="002A5883"/>
    <w:rsid w:val="002A69ED"/>
    <w:rsid w:val="002A710E"/>
    <w:rsid w:val="002A72A0"/>
    <w:rsid w:val="002B055A"/>
    <w:rsid w:val="002B06AA"/>
    <w:rsid w:val="002B0E67"/>
    <w:rsid w:val="002B14EE"/>
    <w:rsid w:val="002B1F1D"/>
    <w:rsid w:val="002B2756"/>
    <w:rsid w:val="002B2C19"/>
    <w:rsid w:val="002B316D"/>
    <w:rsid w:val="002B394C"/>
    <w:rsid w:val="002B3ECF"/>
    <w:rsid w:val="002B46E7"/>
    <w:rsid w:val="002B48DA"/>
    <w:rsid w:val="002B5169"/>
    <w:rsid w:val="002B7B1E"/>
    <w:rsid w:val="002C030A"/>
    <w:rsid w:val="002C0DA5"/>
    <w:rsid w:val="002C0FF5"/>
    <w:rsid w:val="002C205F"/>
    <w:rsid w:val="002C3919"/>
    <w:rsid w:val="002C5196"/>
    <w:rsid w:val="002C6D5C"/>
    <w:rsid w:val="002C791E"/>
    <w:rsid w:val="002D074E"/>
    <w:rsid w:val="002D303D"/>
    <w:rsid w:val="002D39CC"/>
    <w:rsid w:val="002D4E23"/>
    <w:rsid w:val="002D4E37"/>
    <w:rsid w:val="002D52C7"/>
    <w:rsid w:val="002D5521"/>
    <w:rsid w:val="002D5F9C"/>
    <w:rsid w:val="002D659C"/>
    <w:rsid w:val="002D6C46"/>
    <w:rsid w:val="002D6FA8"/>
    <w:rsid w:val="002D767D"/>
    <w:rsid w:val="002E1EE6"/>
    <w:rsid w:val="002E200F"/>
    <w:rsid w:val="002E3A59"/>
    <w:rsid w:val="002E3BD2"/>
    <w:rsid w:val="002E5C79"/>
    <w:rsid w:val="002E6D6A"/>
    <w:rsid w:val="002F17B4"/>
    <w:rsid w:val="002F40A0"/>
    <w:rsid w:val="002F40D3"/>
    <w:rsid w:val="002F5CFB"/>
    <w:rsid w:val="002F5D31"/>
    <w:rsid w:val="002F7549"/>
    <w:rsid w:val="002F7559"/>
    <w:rsid w:val="00300082"/>
    <w:rsid w:val="00300D94"/>
    <w:rsid w:val="00301093"/>
    <w:rsid w:val="00301685"/>
    <w:rsid w:val="00305288"/>
    <w:rsid w:val="00305296"/>
    <w:rsid w:val="00306793"/>
    <w:rsid w:val="0030684E"/>
    <w:rsid w:val="0030791A"/>
    <w:rsid w:val="00307E0B"/>
    <w:rsid w:val="00310789"/>
    <w:rsid w:val="0031115D"/>
    <w:rsid w:val="0031129B"/>
    <w:rsid w:val="00311C09"/>
    <w:rsid w:val="003126FB"/>
    <w:rsid w:val="00313D74"/>
    <w:rsid w:val="00313D78"/>
    <w:rsid w:val="00317608"/>
    <w:rsid w:val="003208BE"/>
    <w:rsid w:val="0032124E"/>
    <w:rsid w:val="003214AE"/>
    <w:rsid w:val="00323A9A"/>
    <w:rsid w:val="00327960"/>
    <w:rsid w:val="00330DEA"/>
    <w:rsid w:val="003315EC"/>
    <w:rsid w:val="00332A66"/>
    <w:rsid w:val="003338B7"/>
    <w:rsid w:val="003342B7"/>
    <w:rsid w:val="003358BB"/>
    <w:rsid w:val="003364D7"/>
    <w:rsid w:val="00336D89"/>
    <w:rsid w:val="00336E9B"/>
    <w:rsid w:val="00337639"/>
    <w:rsid w:val="00337DD7"/>
    <w:rsid w:val="00341E74"/>
    <w:rsid w:val="003420F8"/>
    <w:rsid w:val="00342546"/>
    <w:rsid w:val="00342BE4"/>
    <w:rsid w:val="00344436"/>
    <w:rsid w:val="00344D7F"/>
    <w:rsid w:val="00344DCE"/>
    <w:rsid w:val="003462C1"/>
    <w:rsid w:val="00347551"/>
    <w:rsid w:val="00350833"/>
    <w:rsid w:val="003531B3"/>
    <w:rsid w:val="00353632"/>
    <w:rsid w:val="00353833"/>
    <w:rsid w:val="00356979"/>
    <w:rsid w:val="00357EB7"/>
    <w:rsid w:val="003601E7"/>
    <w:rsid w:val="00360521"/>
    <w:rsid w:val="00361203"/>
    <w:rsid w:val="00362A21"/>
    <w:rsid w:val="00364424"/>
    <w:rsid w:val="00364762"/>
    <w:rsid w:val="003674FD"/>
    <w:rsid w:val="003720ED"/>
    <w:rsid w:val="00373AC1"/>
    <w:rsid w:val="00374C74"/>
    <w:rsid w:val="003750F4"/>
    <w:rsid w:val="00376F5E"/>
    <w:rsid w:val="00377162"/>
    <w:rsid w:val="0037738F"/>
    <w:rsid w:val="003777A6"/>
    <w:rsid w:val="00380426"/>
    <w:rsid w:val="00380B21"/>
    <w:rsid w:val="00381BC0"/>
    <w:rsid w:val="00384EE5"/>
    <w:rsid w:val="003859AA"/>
    <w:rsid w:val="00386AB2"/>
    <w:rsid w:val="0038745C"/>
    <w:rsid w:val="003912BD"/>
    <w:rsid w:val="00391DA4"/>
    <w:rsid w:val="0039238E"/>
    <w:rsid w:val="0039246C"/>
    <w:rsid w:val="003963BA"/>
    <w:rsid w:val="00396BA5"/>
    <w:rsid w:val="00397C2C"/>
    <w:rsid w:val="003A0181"/>
    <w:rsid w:val="003A055D"/>
    <w:rsid w:val="003A08C0"/>
    <w:rsid w:val="003A0B0E"/>
    <w:rsid w:val="003A114A"/>
    <w:rsid w:val="003A158B"/>
    <w:rsid w:val="003A1970"/>
    <w:rsid w:val="003A2BB5"/>
    <w:rsid w:val="003A5401"/>
    <w:rsid w:val="003A568E"/>
    <w:rsid w:val="003B2FD2"/>
    <w:rsid w:val="003B35AB"/>
    <w:rsid w:val="003B36BA"/>
    <w:rsid w:val="003B53AA"/>
    <w:rsid w:val="003B65C1"/>
    <w:rsid w:val="003B6F4D"/>
    <w:rsid w:val="003B7607"/>
    <w:rsid w:val="003B77D4"/>
    <w:rsid w:val="003C06DD"/>
    <w:rsid w:val="003C226D"/>
    <w:rsid w:val="003C2EC6"/>
    <w:rsid w:val="003C359A"/>
    <w:rsid w:val="003C3E2A"/>
    <w:rsid w:val="003C5450"/>
    <w:rsid w:val="003C65FB"/>
    <w:rsid w:val="003C6B09"/>
    <w:rsid w:val="003C7771"/>
    <w:rsid w:val="003C7C33"/>
    <w:rsid w:val="003D22CF"/>
    <w:rsid w:val="003D4273"/>
    <w:rsid w:val="003D60CE"/>
    <w:rsid w:val="003E2DF0"/>
    <w:rsid w:val="003E4260"/>
    <w:rsid w:val="003E449D"/>
    <w:rsid w:val="003E457D"/>
    <w:rsid w:val="003E5397"/>
    <w:rsid w:val="003E6294"/>
    <w:rsid w:val="003E7479"/>
    <w:rsid w:val="003E7B82"/>
    <w:rsid w:val="003F0F36"/>
    <w:rsid w:val="003F102E"/>
    <w:rsid w:val="003F2C1C"/>
    <w:rsid w:val="003F35FF"/>
    <w:rsid w:val="003F37A7"/>
    <w:rsid w:val="003F465D"/>
    <w:rsid w:val="003F54D5"/>
    <w:rsid w:val="003F5743"/>
    <w:rsid w:val="003F57DD"/>
    <w:rsid w:val="00401169"/>
    <w:rsid w:val="004014B0"/>
    <w:rsid w:val="004029EC"/>
    <w:rsid w:val="0040329A"/>
    <w:rsid w:val="00404464"/>
    <w:rsid w:val="00404B03"/>
    <w:rsid w:val="004052EC"/>
    <w:rsid w:val="00405753"/>
    <w:rsid w:val="004058D7"/>
    <w:rsid w:val="00405A1C"/>
    <w:rsid w:val="00406603"/>
    <w:rsid w:val="00406E34"/>
    <w:rsid w:val="0040779F"/>
    <w:rsid w:val="00412C4E"/>
    <w:rsid w:val="0041436F"/>
    <w:rsid w:val="00415AEE"/>
    <w:rsid w:val="004164F3"/>
    <w:rsid w:val="00420B10"/>
    <w:rsid w:val="00420DA1"/>
    <w:rsid w:val="004213E0"/>
    <w:rsid w:val="004218C8"/>
    <w:rsid w:val="00422A70"/>
    <w:rsid w:val="00422ABF"/>
    <w:rsid w:val="004230FA"/>
    <w:rsid w:val="0042646D"/>
    <w:rsid w:val="00426F9C"/>
    <w:rsid w:val="0042759E"/>
    <w:rsid w:val="00427AA1"/>
    <w:rsid w:val="00427B23"/>
    <w:rsid w:val="00430D3E"/>
    <w:rsid w:val="00430FA9"/>
    <w:rsid w:val="00432688"/>
    <w:rsid w:val="004326CC"/>
    <w:rsid w:val="00434755"/>
    <w:rsid w:val="0043629A"/>
    <w:rsid w:val="0044262A"/>
    <w:rsid w:val="004427B6"/>
    <w:rsid w:val="0044285D"/>
    <w:rsid w:val="00442BFB"/>
    <w:rsid w:val="0044322F"/>
    <w:rsid w:val="00443C66"/>
    <w:rsid w:val="00444008"/>
    <w:rsid w:val="004449EF"/>
    <w:rsid w:val="00444AA7"/>
    <w:rsid w:val="0044733F"/>
    <w:rsid w:val="004474CD"/>
    <w:rsid w:val="00450563"/>
    <w:rsid w:val="00454046"/>
    <w:rsid w:val="004545C3"/>
    <w:rsid w:val="00454B31"/>
    <w:rsid w:val="00454BC3"/>
    <w:rsid w:val="00456825"/>
    <w:rsid w:val="00460296"/>
    <w:rsid w:val="00460776"/>
    <w:rsid w:val="004616EB"/>
    <w:rsid w:val="004631C3"/>
    <w:rsid w:val="00463218"/>
    <w:rsid w:val="00464E95"/>
    <w:rsid w:val="00466D3C"/>
    <w:rsid w:val="00467887"/>
    <w:rsid w:val="00471A2A"/>
    <w:rsid w:val="00471FC1"/>
    <w:rsid w:val="004733AA"/>
    <w:rsid w:val="00473450"/>
    <w:rsid w:val="00473AE6"/>
    <w:rsid w:val="00475DF4"/>
    <w:rsid w:val="00476B6B"/>
    <w:rsid w:val="004835C0"/>
    <w:rsid w:val="004836D4"/>
    <w:rsid w:val="00483FF2"/>
    <w:rsid w:val="00484356"/>
    <w:rsid w:val="004846C9"/>
    <w:rsid w:val="00490BAD"/>
    <w:rsid w:val="00491E92"/>
    <w:rsid w:val="00492E56"/>
    <w:rsid w:val="00494816"/>
    <w:rsid w:val="004948CA"/>
    <w:rsid w:val="00495101"/>
    <w:rsid w:val="0049581F"/>
    <w:rsid w:val="00496A18"/>
    <w:rsid w:val="00497CDD"/>
    <w:rsid w:val="004A0135"/>
    <w:rsid w:val="004A0887"/>
    <w:rsid w:val="004A0BB4"/>
    <w:rsid w:val="004A2CC9"/>
    <w:rsid w:val="004A40E1"/>
    <w:rsid w:val="004A451E"/>
    <w:rsid w:val="004A4719"/>
    <w:rsid w:val="004A5189"/>
    <w:rsid w:val="004A56BB"/>
    <w:rsid w:val="004A6374"/>
    <w:rsid w:val="004A74AD"/>
    <w:rsid w:val="004B24D2"/>
    <w:rsid w:val="004B2F26"/>
    <w:rsid w:val="004B3893"/>
    <w:rsid w:val="004B3B42"/>
    <w:rsid w:val="004B42E4"/>
    <w:rsid w:val="004C176A"/>
    <w:rsid w:val="004C28FE"/>
    <w:rsid w:val="004C2D8E"/>
    <w:rsid w:val="004C32E6"/>
    <w:rsid w:val="004C3643"/>
    <w:rsid w:val="004C519A"/>
    <w:rsid w:val="004C5DFE"/>
    <w:rsid w:val="004C67B5"/>
    <w:rsid w:val="004C79A0"/>
    <w:rsid w:val="004C7F15"/>
    <w:rsid w:val="004D064B"/>
    <w:rsid w:val="004D0825"/>
    <w:rsid w:val="004D0FAE"/>
    <w:rsid w:val="004D4195"/>
    <w:rsid w:val="004D4238"/>
    <w:rsid w:val="004D47F8"/>
    <w:rsid w:val="004D48AB"/>
    <w:rsid w:val="004D5333"/>
    <w:rsid w:val="004D62EC"/>
    <w:rsid w:val="004E02F3"/>
    <w:rsid w:val="004E3B61"/>
    <w:rsid w:val="004E662F"/>
    <w:rsid w:val="004F00E4"/>
    <w:rsid w:val="004F3E4C"/>
    <w:rsid w:val="004F6DBB"/>
    <w:rsid w:val="0050224B"/>
    <w:rsid w:val="00502E3E"/>
    <w:rsid w:val="005047FD"/>
    <w:rsid w:val="00504E0C"/>
    <w:rsid w:val="0050778B"/>
    <w:rsid w:val="00507AF8"/>
    <w:rsid w:val="00507F83"/>
    <w:rsid w:val="00510097"/>
    <w:rsid w:val="0051027A"/>
    <w:rsid w:val="00510EBA"/>
    <w:rsid w:val="00514873"/>
    <w:rsid w:val="005169B7"/>
    <w:rsid w:val="00517FAF"/>
    <w:rsid w:val="00520296"/>
    <w:rsid w:val="00520EC5"/>
    <w:rsid w:val="0052109B"/>
    <w:rsid w:val="00523602"/>
    <w:rsid w:val="00523E61"/>
    <w:rsid w:val="00525536"/>
    <w:rsid w:val="00527790"/>
    <w:rsid w:val="00530E2B"/>
    <w:rsid w:val="00531B5E"/>
    <w:rsid w:val="00533FE1"/>
    <w:rsid w:val="005367FA"/>
    <w:rsid w:val="00536B64"/>
    <w:rsid w:val="00536CF3"/>
    <w:rsid w:val="00537DF7"/>
    <w:rsid w:val="00540E72"/>
    <w:rsid w:val="005420F8"/>
    <w:rsid w:val="00542D75"/>
    <w:rsid w:val="00543047"/>
    <w:rsid w:val="005441C9"/>
    <w:rsid w:val="00545824"/>
    <w:rsid w:val="005461D3"/>
    <w:rsid w:val="00547B64"/>
    <w:rsid w:val="00550669"/>
    <w:rsid w:val="0055130E"/>
    <w:rsid w:val="00551A37"/>
    <w:rsid w:val="00551FD9"/>
    <w:rsid w:val="005520BB"/>
    <w:rsid w:val="00552992"/>
    <w:rsid w:val="00553284"/>
    <w:rsid w:val="005546C1"/>
    <w:rsid w:val="00556A47"/>
    <w:rsid w:val="00561866"/>
    <w:rsid w:val="00563322"/>
    <w:rsid w:val="00566A46"/>
    <w:rsid w:val="00567926"/>
    <w:rsid w:val="00567DAC"/>
    <w:rsid w:val="00567FB4"/>
    <w:rsid w:val="00570CDA"/>
    <w:rsid w:val="00570D90"/>
    <w:rsid w:val="0057197B"/>
    <w:rsid w:val="00571CEC"/>
    <w:rsid w:val="00572A75"/>
    <w:rsid w:val="00574224"/>
    <w:rsid w:val="005744B8"/>
    <w:rsid w:val="00574671"/>
    <w:rsid w:val="005746FF"/>
    <w:rsid w:val="00574A48"/>
    <w:rsid w:val="00574ED3"/>
    <w:rsid w:val="0057572B"/>
    <w:rsid w:val="005762EB"/>
    <w:rsid w:val="0058017D"/>
    <w:rsid w:val="00580EA0"/>
    <w:rsid w:val="00580F27"/>
    <w:rsid w:val="0058200F"/>
    <w:rsid w:val="005826FE"/>
    <w:rsid w:val="005844E3"/>
    <w:rsid w:val="00585CBC"/>
    <w:rsid w:val="00585D17"/>
    <w:rsid w:val="005863C3"/>
    <w:rsid w:val="0059072F"/>
    <w:rsid w:val="00591699"/>
    <w:rsid w:val="00591B99"/>
    <w:rsid w:val="00593D49"/>
    <w:rsid w:val="00594A9F"/>
    <w:rsid w:val="00595DDD"/>
    <w:rsid w:val="0059678B"/>
    <w:rsid w:val="0059721B"/>
    <w:rsid w:val="00597B9A"/>
    <w:rsid w:val="005A276C"/>
    <w:rsid w:val="005A3385"/>
    <w:rsid w:val="005A3689"/>
    <w:rsid w:val="005A43A7"/>
    <w:rsid w:val="005A4FB0"/>
    <w:rsid w:val="005A6751"/>
    <w:rsid w:val="005A7C54"/>
    <w:rsid w:val="005A7D63"/>
    <w:rsid w:val="005B168C"/>
    <w:rsid w:val="005B1943"/>
    <w:rsid w:val="005B3606"/>
    <w:rsid w:val="005B4F36"/>
    <w:rsid w:val="005B5530"/>
    <w:rsid w:val="005B60E1"/>
    <w:rsid w:val="005B70D5"/>
    <w:rsid w:val="005B7588"/>
    <w:rsid w:val="005B7AFE"/>
    <w:rsid w:val="005C1D2E"/>
    <w:rsid w:val="005C2E2A"/>
    <w:rsid w:val="005C4255"/>
    <w:rsid w:val="005C6676"/>
    <w:rsid w:val="005D0362"/>
    <w:rsid w:val="005D25AB"/>
    <w:rsid w:val="005D3F32"/>
    <w:rsid w:val="005D45AB"/>
    <w:rsid w:val="005D520A"/>
    <w:rsid w:val="005D6B6B"/>
    <w:rsid w:val="005D73E0"/>
    <w:rsid w:val="005D74C6"/>
    <w:rsid w:val="005E0453"/>
    <w:rsid w:val="005E1F19"/>
    <w:rsid w:val="005E1FF7"/>
    <w:rsid w:val="005E2B12"/>
    <w:rsid w:val="005E3C80"/>
    <w:rsid w:val="005E44BA"/>
    <w:rsid w:val="005E4779"/>
    <w:rsid w:val="005E6D16"/>
    <w:rsid w:val="005E7E13"/>
    <w:rsid w:val="005F0A72"/>
    <w:rsid w:val="005F1183"/>
    <w:rsid w:val="005F1988"/>
    <w:rsid w:val="005F2389"/>
    <w:rsid w:val="005F3C9F"/>
    <w:rsid w:val="005F52AF"/>
    <w:rsid w:val="005F540E"/>
    <w:rsid w:val="005F5E0B"/>
    <w:rsid w:val="005F6E46"/>
    <w:rsid w:val="005F7EAE"/>
    <w:rsid w:val="0060039B"/>
    <w:rsid w:val="0060136A"/>
    <w:rsid w:val="00602B1A"/>
    <w:rsid w:val="0060334C"/>
    <w:rsid w:val="00603A88"/>
    <w:rsid w:val="006058B2"/>
    <w:rsid w:val="00606E26"/>
    <w:rsid w:val="0060742A"/>
    <w:rsid w:val="006074F5"/>
    <w:rsid w:val="00612238"/>
    <w:rsid w:val="006122A4"/>
    <w:rsid w:val="00612F5E"/>
    <w:rsid w:val="006133AA"/>
    <w:rsid w:val="006142C4"/>
    <w:rsid w:val="0061586E"/>
    <w:rsid w:val="00615D11"/>
    <w:rsid w:val="0061615B"/>
    <w:rsid w:val="0061636B"/>
    <w:rsid w:val="00616AE9"/>
    <w:rsid w:val="00623218"/>
    <w:rsid w:val="00623682"/>
    <w:rsid w:val="0062410D"/>
    <w:rsid w:val="006245D6"/>
    <w:rsid w:val="00625C0D"/>
    <w:rsid w:val="00626381"/>
    <w:rsid w:val="00626460"/>
    <w:rsid w:val="00626682"/>
    <w:rsid w:val="00626FEB"/>
    <w:rsid w:val="0062786D"/>
    <w:rsid w:val="006300D8"/>
    <w:rsid w:val="006329C3"/>
    <w:rsid w:val="006332FC"/>
    <w:rsid w:val="006354DD"/>
    <w:rsid w:val="00635BA6"/>
    <w:rsid w:val="00635C2C"/>
    <w:rsid w:val="006364D4"/>
    <w:rsid w:val="00640F32"/>
    <w:rsid w:val="006428EC"/>
    <w:rsid w:val="00642F21"/>
    <w:rsid w:val="006448F2"/>
    <w:rsid w:val="00644966"/>
    <w:rsid w:val="006455DB"/>
    <w:rsid w:val="00646C49"/>
    <w:rsid w:val="00646C7D"/>
    <w:rsid w:val="00647F5D"/>
    <w:rsid w:val="00651131"/>
    <w:rsid w:val="00651434"/>
    <w:rsid w:val="006528F0"/>
    <w:rsid w:val="00653003"/>
    <w:rsid w:val="006542CF"/>
    <w:rsid w:val="00656228"/>
    <w:rsid w:val="00657701"/>
    <w:rsid w:val="00660192"/>
    <w:rsid w:val="00660A63"/>
    <w:rsid w:val="00661A53"/>
    <w:rsid w:val="00661E0E"/>
    <w:rsid w:val="00662D91"/>
    <w:rsid w:val="00665E19"/>
    <w:rsid w:val="00666A84"/>
    <w:rsid w:val="00666DAA"/>
    <w:rsid w:val="00671515"/>
    <w:rsid w:val="00671F29"/>
    <w:rsid w:val="0067271B"/>
    <w:rsid w:val="0067306E"/>
    <w:rsid w:val="006730FA"/>
    <w:rsid w:val="00674DB1"/>
    <w:rsid w:val="00675F9F"/>
    <w:rsid w:val="00676275"/>
    <w:rsid w:val="0067697E"/>
    <w:rsid w:val="00676F1B"/>
    <w:rsid w:val="006774A4"/>
    <w:rsid w:val="0067773C"/>
    <w:rsid w:val="00680E33"/>
    <w:rsid w:val="00682F53"/>
    <w:rsid w:val="00682FA1"/>
    <w:rsid w:val="006844FD"/>
    <w:rsid w:val="0068641D"/>
    <w:rsid w:val="00686573"/>
    <w:rsid w:val="00686D1C"/>
    <w:rsid w:val="006872EB"/>
    <w:rsid w:val="00691357"/>
    <w:rsid w:val="00691AC5"/>
    <w:rsid w:val="00693850"/>
    <w:rsid w:val="0069468F"/>
    <w:rsid w:val="006957A1"/>
    <w:rsid w:val="006964E1"/>
    <w:rsid w:val="00696797"/>
    <w:rsid w:val="00697561"/>
    <w:rsid w:val="00697C51"/>
    <w:rsid w:val="006A2994"/>
    <w:rsid w:val="006A2E44"/>
    <w:rsid w:val="006A32C4"/>
    <w:rsid w:val="006A36D2"/>
    <w:rsid w:val="006A3728"/>
    <w:rsid w:val="006A45CF"/>
    <w:rsid w:val="006A4669"/>
    <w:rsid w:val="006A69EA"/>
    <w:rsid w:val="006A701E"/>
    <w:rsid w:val="006A709A"/>
    <w:rsid w:val="006A73F3"/>
    <w:rsid w:val="006A75D8"/>
    <w:rsid w:val="006A7D92"/>
    <w:rsid w:val="006B06D5"/>
    <w:rsid w:val="006B296D"/>
    <w:rsid w:val="006B3758"/>
    <w:rsid w:val="006B4B6A"/>
    <w:rsid w:val="006B4F32"/>
    <w:rsid w:val="006B5CBE"/>
    <w:rsid w:val="006B62B7"/>
    <w:rsid w:val="006B6F61"/>
    <w:rsid w:val="006C117B"/>
    <w:rsid w:val="006C117E"/>
    <w:rsid w:val="006C179B"/>
    <w:rsid w:val="006C3777"/>
    <w:rsid w:val="006C50EE"/>
    <w:rsid w:val="006C55B0"/>
    <w:rsid w:val="006C7A2B"/>
    <w:rsid w:val="006D29B8"/>
    <w:rsid w:val="006D33C5"/>
    <w:rsid w:val="006D663C"/>
    <w:rsid w:val="006D6FA9"/>
    <w:rsid w:val="006D7B00"/>
    <w:rsid w:val="006E412D"/>
    <w:rsid w:val="006E7600"/>
    <w:rsid w:val="006F0C61"/>
    <w:rsid w:val="006F2D5F"/>
    <w:rsid w:val="006F38EE"/>
    <w:rsid w:val="006F595A"/>
    <w:rsid w:val="006F5B5C"/>
    <w:rsid w:val="006F652C"/>
    <w:rsid w:val="006F6E8D"/>
    <w:rsid w:val="006F74E2"/>
    <w:rsid w:val="006F7AD2"/>
    <w:rsid w:val="00701F66"/>
    <w:rsid w:val="00701F6B"/>
    <w:rsid w:val="00701FA3"/>
    <w:rsid w:val="007021C0"/>
    <w:rsid w:val="00704CAE"/>
    <w:rsid w:val="00705C1F"/>
    <w:rsid w:val="00706F5C"/>
    <w:rsid w:val="007072F9"/>
    <w:rsid w:val="007122BD"/>
    <w:rsid w:val="00715CAE"/>
    <w:rsid w:val="00715F35"/>
    <w:rsid w:val="007162BE"/>
    <w:rsid w:val="0071767A"/>
    <w:rsid w:val="007179F7"/>
    <w:rsid w:val="00720C0D"/>
    <w:rsid w:val="00721541"/>
    <w:rsid w:val="00721921"/>
    <w:rsid w:val="007225B6"/>
    <w:rsid w:val="007231CF"/>
    <w:rsid w:val="0072494B"/>
    <w:rsid w:val="007307F1"/>
    <w:rsid w:val="00730D6E"/>
    <w:rsid w:val="00731DF2"/>
    <w:rsid w:val="007346E9"/>
    <w:rsid w:val="007347D5"/>
    <w:rsid w:val="00736816"/>
    <w:rsid w:val="00741085"/>
    <w:rsid w:val="007418C4"/>
    <w:rsid w:val="00741FB5"/>
    <w:rsid w:val="00742495"/>
    <w:rsid w:val="00742949"/>
    <w:rsid w:val="00743461"/>
    <w:rsid w:val="00743498"/>
    <w:rsid w:val="007443E0"/>
    <w:rsid w:val="00744DF9"/>
    <w:rsid w:val="0074566B"/>
    <w:rsid w:val="00745967"/>
    <w:rsid w:val="007464EB"/>
    <w:rsid w:val="00746BC3"/>
    <w:rsid w:val="0074707A"/>
    <w:rsid w:val="00750901"/>
    <w:rsid w:val="00751558"/>
    <w:rsid w:val="00752DCA"/>
    <w:rsid w:val="00753056"/>
    <w:rsid w:val="00753657"/>
    <w:rsid w:val="007546F3"/>
    <w:rsid w:val="0075729F"/>
    <w:rsid w:val="00761F8A"/>
    <w:rsid w:val="00762268"/>
    <w:rsid w:val="007638F9"/>
    <w:rsid w:val="00763E49"/>
    <w:rsid w:val="0076560B"/>
    <w:rsid w:val="007675F5"/>
    <w:rsid w:val="00767A20"/>
    <w:rsid w:val="007703F2"/>
    <w:rsid w:val="007713CC"/>
    <w:rsid w:val="007717E9"/>
    <w:rsid w:val="00772061"/>
    <w:rsid w:val="0077237B"/>
    <w:rsid w:val="007736B4"/>
    <w:rsid w:val="00773FDF"/>
    <w:rsid w:val="007742E6"/>
    <w:rsid w:val="0077472C"/>
    <w:rsid w:val="00775F80"/>
    <w:rsid w:val="007764D4"/>
    <w:rsid w:val="00776C72"/>
    <w:rsid w:val="00781B1C"/>
    <w:rsid w:val="00782603"/>
    <w:rsid w:val="00782DC1"/>
    <w:rsid w:val="007835D4"/>
    <w:rsid w:val="0078368A"/>
    <w:rsid w:val="00784272"/>
    <w:rsid w:val="007844BD"/>
    <w:rsid w:val="0078462A"/>
    <w:rsid w:val="00786184"/>
    <w:rsid w:val="00790D90"/>
    <w:rsid w:val="007910C7"/>
    <w:rsid w:val="00791E86"/>
    <w:rsid w:val="00793F80"/>
    <w:rsid w:val="00794E18"/>
    <w:rsid w:val="00795337"/>
    <w:rsid w:val="00795FA2"/>
    <w:rsid w:val="007965D1"/>
    <w:rsid w:val="0079680C"/>
    <w:rsid w:val="007977E2"/>
    <w:rsid w:val="00797AAE"/>
    <w:rsid w:val="007A0688"/>
    <w:rsid w:val="007A0A0C"/>
    <w:rsid w:val="007A1C72"/>
    <w:rsid w:val="007A68B3"/>
    <w:rsid w:val="007A6BEC"/>
    <w:rsid w:val="007A73B8"/>
    <w:rsid w:val="007A78D4"/>
    <w:rsid w:val="007A7CCB"/>
    <w:rsid w:val="007B121A"/>
    <w:rsid w:val="007B1E6E"/>
    <w:rsid w:val="007B29AF"/>
    <w:rsid w:val="007B3408"/>
    <w:rsid w:val="007B37CC"/>
    <w:rsid w:val="007B7649"/>
    <w:rsid w:val="007C0528"/>
    <w:rsid w:val="007C1B3D"/>
    <w:rsid w:val="007C1C80"/>
    <w:rsid w:val="007C2397"/>
    <w:rsid w:val="007C2602"/>
    <w:rsid w:val="007C30CF"/>
    <w:rsid w:val="007C5DBF"/>
    <w:rsid w:val="007C7959"/>
    <w:rsid w:val="007D2AFE"/>
    <w:rsid w:val="007D3EED"/>
    <w:rsid w:val="007D66B5"/>
    <w:rsid w:val="007D7A4C"/>
    <w:rsid w:val="007E37BD"/>
    <w:rsid w:val="007E3FE1"/>
    <w:rsid w:val="007E457F"/>
    <w:rsid w:val="007E5094"/>
    <w:rsid w:val="007E66D2"/>
    <w:rsid w:val="007E6FAB"/>
    <w:rsid w:val="007E742B"/>
    <w:rsid w:val="007F0BB3"/>
    <w:rsid w:val="007F55F1"/>
    <w:rsid w:val="007F5F7B"/>
    <w:rsid w:val="007F6A8F"/>
    <w:rsid w:val="00800386"/>
    <w:rsid w:val="00800B27"/>
    <w:rsid w:val="00802281"/>
    <w:rsid w:val="008034BF"/>
    <w:rsid w:val="008034F0"/>
    <w:rsid w:val="008050B8"/>
    <w:rsid w:val="00805814"/>
    <w:rsid w:val="00806167"/>
    <w:rsid w:val="008064A7"/>
    <w:rsid w:val="00807932"/>
    <w:rsid w:val="00807A6A"/>
    <w:rsid w:val="00807DFC"/>
    <w:rsid w:val="008110C9"/>
    <w:rsid w:val="0081360F"/>
    <w:rsid w:val="008137DB"/>
    <w:rsid w:val="0081475E"/>
    <w:rsid w:val="008160E2"/>
    <w:rsid w:val="008167D4"/>
    <w:rsid w:val="0081734B"/>
    <w:rsid w:val="00820083"/>
    <w:rsid w:val="008202FC"/>
    <w:rsid w:val="00820BD3"/>
    <w:rsid w:val="00821685"/>
    <w:rsid w:val="008222B6"/>
    <w:rsid w:val="00823530"/>
    <w:rsid w:val="00824E0C"/>
    <w:rsid w:val="00827220"/>
    <w:rsid w:val="00830A37"/>
    <w:rsid w:val="00830B8A"/>
    <w:rsid w:val="008311AE"/>
    <w:rsid w:val="00831ED0"/>
    <w:rsid w:val="0083264D"/>
    <w:rsid w:val="00832A02"/>
    <w:rsid w:val="008330EB"/>
    <w:rsid w:val="00833343"/>
    <w:rsid w:val="00833EFA"/>
    <w:rsid w:val="008347F7"/>
    <w:rsid w:val="00834BC9"/>
    <w:rsid w:val="00835970"/>
    <w:rsid w:val="00836F65"/>
    <w:rsid w:val="00841304"/>
    <w:rsid w:val="00842E94"/>
    <w:rsid w:val="00846384"/>
    <w:rsid w:val="00850EDF"/>
    <w:rsid w:val="008525D8"/>
    <w:rsid w:val="008528C8"/>
    <w:rsid w:val="00852952"/>
    <w:rsid w:val="00852DB0"/>
    <w:rsid w:val="00855765"/>
    <w:rsid w:val="00856064"/>
    <w:rsid w:val="008560A5"/>
    <w:rsid w:val="00861264"/>
    <w:rsid w:val="00862E4E"/>
    <w:rsid w:val="00863CDE"/>
    <w:rsid w:val="00863DFA"/>
    <w:rsid w:val="00864BB3"/>
    <w:rsid w:val="00864E91"/>
    <w:rsid w:val="00864EC5"/>
    <w:rsid w:val="0086532E"/>
    <w:rsid w:val="00865368"/>
    <w:rsid w:val="00866957"/>
    <w:rsid w:val="00866BFB"/>
    <w:rsid w:val="0087065B"/>
    <w:rsid w:val="00870689"/>
    <w:rsid w:val="00872D68"/>
    <w:rsid w:val="00873723"/>
    <w:rsid w:val="008743E5"/>
    <w:rsid w:val="008772D9"/>
    <w:rsid w:val="008816B0"/>
    <w:rsid w:val="008820FD"/>
    <w:rsid w:val="00882E10"/>
    <w:rsid w:val="00884E6C"/>
    <w:rsid w:val="008853E4"/>
    <w:rsid w:val="008869AA"/>
    <w:rsid w:val="0089304A"/>
    <w:rsid w:val="008A17A4"/>
    <w:rsid w:val="008A1C98"/>
    <w:rsid w:val="008A5A95"/>
    <w:rsid w:val="008A5D17"/>
    <w:rsid w:val="008A5D43"/>
    <w:rsid w:val="008A6E0A"/>
    <w:rsid w:val="008A74B4"/>
    <w:rsid w:val="008A7E73"/>
    <w:rsid w:val="008B06AB"/>
    <w:rsid w:val="008B2CA4"/>
    <w:rsid w:val="008B4DA1"/>
    <w:rsid w:val="008B4E98"/>
    <w:rsid w:val="008B6912"/>
    <w:rsid w:val="008B7241"/>
    <w:rsid w:val="008B78A8"/>
    <w:rsid w:val="008C0DD9"/>
    <w:rsid w:val="008C1390"/>
    <w:rsid w:val="008C2A25"/>
    <w:rsid w:val="008C321E"/>
    <w:rsid w:val="008C3FA6"/>
    <w:rsid w:val="008C4A5E"/>
    <w:rsid w:val="008C7BAE"/>
    <w:rsid w:val="008D1141"/>
    <w:rsid w:val="008D1C58"/>
    <w:rsid w:val="008D1EB6"/>
    <w:rsid w:val="008D2144"/>
    <w:rsid w:val="008D24B3"/>
    <w:rsid w:val="008D2EE2"/>
    <w:rsid w:val="008D377C"/>
    <w:rsid w:val="008D66A8"/>
    <w:rsid w:val="008D6D12"/>
    <w:rsid w:val="008D7464"/>
    <w:rsid w:val="008E0F3A"/>
    <w:rsid w:val="008E116D"/>
    <w:rsid w:val="008E124F"/>
    <w:rsid w:val="008E141F"/>
    <w:rsid w:val="008E1737"/>
    <w:rsid w:val="008E1C21"/>
    <w:rsid w:val="008E30E1"/>
    <w:rsid w:val="008E60AE"/>
    <w:rsid w:val="008E6168"/>
    <w:rsid w:val="008E67CB"/>
    <w:rsid w:val="008E6867"/>
    <w:rsid w:val="008F0519"/>
    <w:rsid w:val="008F1A72"/>
    <w:rsid w:val="008F1A78"/>
    <w:rsid w:val="008F427F"/>
    <w:rsid w:val="008F580D"/>
    <w:rsid w:val="008F629F"/>
    <w:rsid w:val="008F65AA"/>
    <w:rsid w:val="009003FF"/>
    <w:rsid w:val="00901090"/>
    <w:rsid w:val="00906A8B"/>
    <w:rsid w:val="00906E25"/>
    <w:rsid w:val="00911215"/>
    <w:rsid w:val="00911235"/>
    <w:rsid w:val="00912F53"/>
    <w:rsid w:val="0091388B"/>
    <w:rsid w:val="0091468A"/>
    <w:rsid w:val="00915630"/>
    <w:rsid w:val="009160C0"/>
    <w:rsid w:val="009200DE"/>
    <w:rsid w:val="0092052E"/>
    <w:rsid w:val="00920915"/>
    <w:rsid w:val="0092334B"/>
    <w:rsid w:val="00923495"/>
    <w:rsid w:val="009237B8"/>
    <w:rsid w:val="009241F3"/>
    <w:rsid w:val="00926A51"/>
    <w:rsid w:val="009273FE"/>
    <w:rsid w:val="009318F4"/>
    <w:rsid w:val="00933F6E"/>
    <w:rsid w:val="00934379"/>
    <w:rsid w:val="00936118"/>
    <w:rsid w:val="00937379"/>
    <w:rsid w:val="00942BD8"/>
    <w:rsid w:val="009443E1"/>
    <w:rsid w:val="0094604A"/>
    <w:rsid w:val="00946986"/>
    <w:rsid w:val="009500ED"/>
    <w:rsid w:val="00953387"/>
    <w:rsid w:val="00954467"/>
    <w:rsid w:val="00954B1A"/>
    <w:rsid w:val="00955166"/>
    <w:rsid w:val="00955521"/>
    <w:rsid w:val="00955ADB"/>
    <w:rsid w:val="00956A0C"/>
    <w:rsid w:val="00960ABF"/>
    <w:rsid w:val="00960D1E"/>
    <w:rsid w:val="009618DE"/>
    <w:rsid w:val="00961B88"/>
    <w:rsid w:val="0096248D"/>
    <w:rsid w:val="00963279"/>
    <w:rsid w:val="00964820"/>
    <w:rsid w:val="0096551A"/>
    <w:rsid w:val="00965E8A"/>
    <w:rsid w:val="00966295"/>
    <w:rsid w:val="00966535"/>
    <w:rsid w:val="00966B3F"/>
    <w:rsid w:val="00966BF7"/>
    <w:rsid w:val="009675A1"/>
    <w:rsid w:val="00967D4D"/>
    <w:rsid w:val="00967F8A"/>
    <w:rsid w:val="00970320"/>
    <w:rsid w:val="009718D5"/>
    <w:rsid w:val="00973C6D"/>
    <w:rsid w:val="00976E44"/>
    <w:rsid w:val="00980746"/>
    <w:rsid w:val="00981C99"/>
    <w:rsid w:val="0098285C"/>
    <w:rsid w:val="00983340"/>
    <w:rsid w:val="009843F0"/>
    <w:rsid w:val="00984C4F"/>
    <w:rsid w:val="00984CB1"/>
    <w:rsid w:val="00985507"/>
    <w:rsid w:val="00985589"/>
    <w:rsid w:val="00986450"/>
    <w:rsid w:val="00992103"/>
    <w:rsid w:val="00992514"/>
    <w:rsid w:val="00992CC3"/>
    <w:rsid w:val="00994252"/>
    <w:rsid w:val="009945C5"/>
    <w:rsid w:val="00994CA7"/>
    <w:rsid w:val="00994EED"/>
    <w:rsid w:val="009958D0"/>
    <w:rsid w:val="00995E76"/>
    <w:rsid w:val="00996E5B"/>
    <w:rsid w:val="0099786F"/>
    <w:rsid w:val="00997900"/>
    <w:rsid w:val="00997B16"/>
    <w:rsid w:val="009A2967"/>
    <w:rsid w:val="009A376D"/>
    <w:rsid w:val="009A4AA8"/>
    <w:rsid w:val="009A600B"/>
    <w:rsid w:val="009A6080"/>
    <w:rsid w:val="009A63B8"/>
    <w:rsid w:val="009A710B"/>
    <w:rsid w:val="009A761E"/>
    <w:rsid w:val="009B096E"/>
    <w:rsid w:val="009B0B9F"/>
    <w:rsid w:val="009B0C58"/>
    <w:rsid w:val="009B0C9E"/>
    <w:rsid w:val="009B1A58"/>
    <w:rsid w:val="009B1F6D"/>
    <w:rsid w:val="009B2474"/>
    <w:rsid w:val="009B3417"/>
    <w:rsid w:val="009B3FC8"/>
    <w:rsid w:val="009B431B"/>
    <w:rsid w:val="009B658C"/>
    <w:rsid w:val="009B6D39"/>
    <w:rsid w:val="009C26BA"/>
    <w:rsid w:val="009C3AC5"/>
    <w:rsid w:val="009C3D57"/>
    <w:rsid w:val="009C5418"/>
    <w:rsid w:val="009C6E48"/>
    <w:rsid w:val="009D0CF9"/>
    <w:rsid w:val="009D1F5C"/>
    <w:rsid w:val="009D3EB2"/>
    <w:rsid w:val="009D4021"/>
    <w:rsid w:val="009D4CF5"/>
    <w:rsid w:val="009D6B41"/>
    <w:rsid w:val="009D6F1D"/>
    <w:rsid w:val="009D720E"/>
    <w:rsid w:val="009E28D4"/>
    <w:rsid w:val="009E457B"/>
    <w:rsid w:val="009E54C1"/>
    <w:rsid w:val="009E64DF"/>
    <w:rsid w:val="009E65B1"/>
    <w:rsid w:val="009F05B9"/>
    <w:rsid w:val="009F0D22"/>
    <w:rsid w:val="009F11E8"/>
    <w:rsid w:val="009F3E34"/>
    <w:rsid w:val="009F4816"/>
    <w:rsid w:val="009F4C01"/>
    <w:rsid w:val="009F5A54"/>
    <w:rsid w:val="009F6291"/>
    <w:rsid w:val="009F7300"/>
    <w:rsid w:val="009F7420"/>
    <w:rsid w:val="00A0373E"/>
    <w:rsid w:val="00A03920"/>
    <w:rsid w:val="00A03D74"/>
    <w:rsid w:val="00A045A8"/>
    <w:rsid w:val="00A06E5A"/>
    <w:rsid w:val="00A07046"/>
    <w:rsid w:val="00A07E89"/>
    <w:rsid w:val="00A10796"/>
    <w:rsid w:val="00A127F6"/>
    <w:rsid w:val="00A12C60"/>
    <w:rsid w:val="00A12F67"/>
    <w:rsid w:val="00A141E2"/>
    <w:rsid w:val="00A15206"/>
    <w:rsid w:val="00A155C3"/>
    <w:rsid w:val="00A1783D"/>
    <w:rsid w:val="00A17900"/>
    <w:rsid w:val="00A22035"/>
    <w:rsid w:val="00A2395E"/>
    <w:rsid w:val="00A24347"/>
    <w:rsid w:val="00A243BA"/>
    <w:rsid w:val="00A265C6"/>
    <w:rsid w:val="00A2762B"/>
    <w:rsid w:val="00A30826"/>
    <w:rsid w:val="00A30A19"/>
    <w:rsid w:val="00A321CA"/>
    <w:rsid w:val="00A33533"/>
    <w:rsid w:val="00A33824"/>
    <w:rsid w:val="00A33BBD"/>
    <w:rsid w:val="00A33F37"/>
    <w:rsid w:val="00A35529"/>
    <w:rsid w:val="00A37BE8"/>
    <w:rsid w:val="00A40BE9"/>
    <w:rsid w:val="00A40FE8"/>
    <w:rsid w:val="00A4152C"/>
    <w:rsid w:val="00A42F08"/>
    <w:rsid w:val="00A44564"/>
    <w:rsid w:val="00A452D1"/>
    <w:rsid w:val="00A4542D"/>
    <w:rsid w:val="00A46DC3"/>
    <w:rsid w:val="00A47281"/>
    <w:rsid w:val="00A47BEC"/>
    <w:rsid w:val="00A50A5B"/>
    <w:rsid w:val="00A51355"/>
    <w:rsid w:val="00A523EB"/>
    <w:rsid w:val="00A54D46"/>
    <w:rsid w:val="00A60BD6"/>
    <w:rsid w:val="00A60D4C"/>
    <w:rsid w:val="00A61E93"/>
    <w:rsid w:val="00A62574"/>
    <w:rsid w:val="00A6707E"/>
    <w:rsid w:val="00A67176"/>
    <w:rsid w:val="00A67D85"/>
    <w:rsid w:val="00A67DEC"/>
    <w:rsid w:val="00A73034"/>
    <w:rsid w:val="00A745B1"/>
    <w:rsid w:val="00A74F33"/>
    <w:rsid w:val="00A75AF6"/>
    <w:rsid w:val="00A76932"/>
    <w:rsid w:val="00A80361"/>
    <w:rsid w:val="00A809CE"/>
    <w:rsid w:val="00A83041"/>
    <w:rsid w:val="00A839BA"/>
    <w:rsid w:val="00A83F76"/>
    <w:rsid w:val="00A8454A"/>
    <w:rsid w:val="00A858E6"/>
    <w:rsid w:val="00A87BEB"/>
    <w:rsid w:val="00A93B32"/>
    <w:rsid w:val="00A94C9C"/>
    <w:rsid w:val="00A95950"/>
    <w:rsid w:val="00A962FB"/>
    <w:rsid w:val="00A96DD7"/>
    <w:rsid w:val="00A96DE0"/>
    <w:rsid w:val="00A97A1C"/>
    <w:rsid w:val="00AA0215"/>
    <w:rsid w:val="00AA0DDB"/>
    <w:rsid w:val="00AA0ECC"/>
    <w:rsid w:val="00AA0F08"/>
    <w:rsid w:val="00AA0FE6"/>
    <w:rsid w:val="00AA287D"/>
    <w:rsid w:val="00AA3BAC"/>
    <w:rsid w:val="00AA5EE2"/>
    <w:rsid w:val="00AA5F29"/>
    <w:rsid w:val="00AA6347"/>
    <w:rsid w:val="00AA6896"/>
    <w:rsid w:val="00AA6BF8"/>
    <w:rsid w:val="00AB2939"/>
    <w:rsid w:val="00AB2956"/>
    <w:rsid w:val="00AB29F7"/>
    <w:rsid w:val="00AB3704"/>
    <w:rsid w:val="00AB42B6"/>
    <w:rsid w:val="00AB5B6C"/>
    <w:rsid w:val="00AB6FD4"/>
    <w:rsid w:val="00AB7946"/>
    <w:rsid w:val="00AC03AD"/>
    <w:rsid w:val="00AC089B"/>
    <w:rsid w:val="00AC0D07"/>
    <w:rsid w:val="00AC2CDE"/>
    <w:rsid w:val="00AC3EC4"/>
    <w:rsid w:val="00AC41D6"/>
    <w:rsid w:val="00AC450B"/>
    <w:rsid w:val="00AC5A57"/>
    <w:rsid w:val="00AC61EF"/>
    <w:rsid w:val="00AC64B5"/>
    <w:rsid w:val="00AC7EB3"/>
    <w:rsid w:val="00AC7F19"/>
    <w:rsid w:val="00AD1F08"/>
    <w:rsid w:val="00AD21B4"/>
    <w:rsid w:val="00AD6412"/>
    <w:rsid w:val="00AD6C81"/>
    <w:rsid w:val="00AD7386"/>
    <w:rsid w:val="00AD7680"/>
    <w:rsid w:val="00AE0428"/>
    <w:rsid w:val="00AE068F"/>
    <w:rsid w:val="00AE287D"/>
    <w:rsid w:val="00AE28AA"/>
    <w:rsid w:val="00AE3217"/>
    <w:rsid w:val="00AE4243"/>
    <w:rsid w:val="00AE5538"/>
    <w:rsid w:val="00AE61C5"/>
    <w:rsid w:val="00AF0669"/>
    <w:rsid w:val="00AF079E"/>
    <w:rsid w:val="00AF0980"/>
    <w:rsid w:val="00AF0A7E"/>
    <w:rsid w:val="00AF11F5"/>
    <w:rsid w:val="00AF20E4"/>
    <w:rsid w:val="00AF250E"/>
    <w:rsid w:val="00AF2A8A"/>
    <w:rsid w:val="00AF2D05"/>
    <w:rsid w:val="00AF30B8"/>
    <w:rsid w:val="00AF3192"/>
    <w:rsid w:val="00AF3A5D"/>
    <w:rsid w:val="00AF4198"/>
    <w:rsid w:val="00AF4A0D"/>
    <w:rsid w:val="00AF4FB0"/>
    <w:rsid w:val="00AF67DE"/>
    <w:rsid w:val="00AF7129"/>
    <w:rsid w:val="00AF7338"/>
    <w:rsid w:val="00AF7A80"/>
    <w:rsid w:val="00B0037C"/>
    <w:rsid w:val="00B006B6"/>
    <w:rsid w:val="00B00DC1"/>
    <w:rsid w:val="00B019B9"/>
    <w:rsid w:val="00B0294C"/>
    <w:rsid w:val="00B02A69"/>
    <w:rsid w:val="00B035E8"/>
    <w:rsid w:val="00B0458E"/>
    <w:rsid w:val="00B04B72"/>
    <w:rsid w:val="00B05A47"/>
    <w:rsid w:val="00B0653F"/>
    <w:rsid w:val="00B06E26"/>
    <w:rsid w:val="00B07156"/>
    <w:rsid w:val="00B10A9B"/>
    <w:rsid w:val="00B113A7"/>
    <w:rsid w:val="00B1157B"/>
    <w:rsid w:val="00B11589"/>
    <w:rsid w:val="00B12442"/>
    <w:rsid w:val="00B12E8D"/>
    <w:rsid w:val="00B140A5"/>
    <w:rsid w:val="00B1435C"/>
    <w:rsid w:val="00B14887"/>
    <w:rsid w:val="00B14C71"/>
    <w:rsid w:val="00B1561F"/>
    <w:rsid w:val="00B1702C"/>
    <w:rsid w:val="00B172EF"/>
    <w:rsid w:val="00B1732C"/>
    <w:rsid w:val="00B200B9"/>
    <w:rsid w:val="00B20451"/>
    <w:rsid w:val="00B219D8"/>
    <w:rsid w:val="00B22D7F"/>
    <w:rsid w:val="00B23154"/>
    <w:rsid w:val="00B25316"/>
    <w:rsid w:val="00B2554F"/>
    <w:rsid w:val="00B26794"/>
    <w:rsid w:val="00B26A11"/>
    <w:rsid w:val="00B27915"/>
    <w:rsid w:val="00B27A93"/>
    <w:rsid w:val="00B30C4C"/>
    <w:rsid w:val="00B33F6C"/>
    <w:rsid w:val="00B346D5"/>
    <w:rsid w:val="00B352E6"/>
    <w:rsid w:val="00B357AB"/>
    <w:rsid w:val="00B3616E"/>
    <w:rsid w:val="00B4059F"/>
    <w:rsid w:val="00B41FCD"/>
    <w:rsid w:val="00B446DF"/>
    <w:rsid w:val="00B44CB3"/>
    <w:rsid w:val="00B45F56"/>
    <w:rsid w:val="00B46AEB"/>
    <w:rsid w:val="00B46D43"/>
    <w:rsid w:val="00B474BB"/>
    <w:rsid w:val="00B510F1"/>
    <w:rsid w:val="00B5131D"/>
    <w:rsid w:val="00B5214E"/>
    <w:rsid w:val="00B537E8"/>
    <w:rsid w:val="00B56515"/>
    <w:rsid w:val="00B56CAA"/>
    <w:rsid w:val="00B57370"/>
    <w:rsid w:val="00B57ABC"/>
    <w:rsid w:val="00B603D4"/>
    <w:rsid w:val="00B608D7"/>
    <w:rsid w:val="00B620B9"/>
    <w:rsid w:val="00B63DC8"/>
    <w:rsid w:val="00B66674"/>
    <w:rsid w:val="00B66DD2"/>
    <w:rsid w:val="00B66DE7"/>
    <w:rsid w:val="00B67255"/>
    <w:rsid w:val="00B6740F"/>
    <w:rsid w:val="00B7201C"/>
    <w:rsid w:val="00B72AF9"/>
    <w:rsid w:val="00B73195"/>
    <w:rsid w:val="00B7352E"/>
    <w:rsid w:val="00B75598"/>
    <w:rsid w:val="00B766B7"/>
    <w:rsid w:val="00B77123"/>
    <w:rsid w:val="00B778BD"/>
    <w:rsid w:val="00B778DC"/>
    <w:rsid w:val="00B77AB2"/>
    <w:rsid w:val="00B81946"/>
    <w:rsid w:val="00B82603"/>
    <w:rsid w:val="00B84775"/>
    <w:rsid w:val="00B87575"/>
    <w:rsid w:val="00B87758"/>
    <w:rsid w:val="00B913F1"/>
    <w:rsid w:val="00B91EEA"/>
    <w:rsid w:val="00B92A42"/>
    <w:rsid w:val="00B92E1D"/>
    <w:rsid w:val="00B94BB2"/>
    <w:rsid w:val="00B956DC"/>
    <w:rsid w:val="00B95794"/>
    <w:rsid w:val="00B96089"/>
    <w:rsid w:val="00B96359"/>
    <w:rsid w:val="00B96BCA"/>
    <w:rsid w:val="00B9780F"/>
    <w:rsid w:val="00BA066A"/>
    <w:rsid w:val="00BA16CE"/>
    <w:rsid w:val="00BA188E"/>
    <w:rsid w:val="00BA1A03"/>
    <w:rsid w:val="00BA1F36"/>
    <w:rsid w:val="00BA250D"/>
    <w:rsid w:val="00BA3232"/>
    <w:rsid w:val="00BA4317"/>
    <w:rsid w:val="00BA434D"/>
    <w:rsid w:val="00BA4486"/>
    <w:rsid w:val="00BA4638"/>
    <w:rsid w:val="00BA7C5A"/>
    <w:rsid w:val="00BA7F36"/>
    <w:rsid w:val="00BB0494"/>
    <w:rsid w:val="00BB0523"/>
    <w:rsid w:val="00BB3BA9"/>
    <w:rsid w:val="00BB5AEA"/>
    <w:rsid w:val="00BC087F"/>
    <w:rsid w:val="00BC36ED"/>
    <w:rsid w:val="00BC409B"/>
    <w:rsid w:val="00BC52F3"/>
    <w:rsid w:val="00BC5D6F"/>
    <w:rsid w:val="00BD03B2"/>
    <w:rsid w:val="00BD0586"/>
    <w:rsid w:val="00BD18D6"/>
    <w:rsid w:val="00BD2262"/>
    <w:rsid w:val="00BD32C9"/>
    <w:rsid w:val="00BD3987"/>
    <w:rsid w:val="00BD3B39"/>
    <w:rsid w:val="00BD5125"/>
    <w:rsid w:val="00BD557D"/>
    <w:rsid w:val="00BD6B96"/>
    <w:rsid w:val="00BE0320"/>
    <w:rsid w:val="00BE552E"/>
    <w:rsid w:val="00BE6D3D"/>
    <w:rsid w:val="00BE70FE"/>
    <w:rsid w:val="00BE7322"/>
    <w:rsid w:val="00BE7B13"/>
    <w:rsid w:val="00BF1D38"/>
    <w:rsid w:val="00BF1FBC"/>
    <w:rsid w:val="00BF34AD"/>
    <w:rsid w:val="00BF4015"/>
    <w:rsid w:val="00BF4A95"/>
    <w:rsid w:val="00BF54B5"/>
    <w:rsid w:val="00BF6ED4"/>
    <w:rsid w:val="00BF7911"/>
    <w:rsid w:val="00C00233"/>
    <w:rsid w:val="00C01104"/>
    <w:rsid w:val="00C01790"/>
    <w:rsid w:val="00C0430E"/>
    <w:rsid w:val="00C04971"/>
    <w:rsid w:val="00C04A21"/>
    <w:rsid w:val="00C06B89"/>
    <w:rsid w:val="00C1064E"/>
    <w:rsid w:val="00C11272"/>
    <w:rsid w:val="00C1155E"/>
    <w:rsid w:val="00C1186C"/>
    <w:rsid w:val="00C11A44"/>
    <w:rsid w:val="00C11E49"/>
    <w:rsid w:val="00C13A0E"/>
    <w:rsid w:val="00C13F10"/>
    <w:rsid w:val="00C140F9"/>
    <w:rsid w:val="00C14170"/>
    <w:rsid w:val="00C146BD"/>
    <w:rsid w:val="00C15559"/>
    <w:rsid w:val="00C1621C"/>
    <w:rsid w:val="00C16712"/>
    <w:rsid w:val="00C21BA8"/>
    <w:rsid w:val="00C2220F"/>
    <w:rsid w:val="00C22EB9"/>
    <w:rsid w:val="00C236F6"/>
    <w:rsid w:val="00C23DFF"/>
    <w:rsid w:val="00C250F1"/>
    <w:rsid w:val="00C25D6C"/>
    <w:rsid w:val="00C26407"/>
    <w:rsid w:val="00C26646"/>
    <w:rsid w:val="00C30EC9"/>
    <w:rsid w:val="00C314F7"/>
    <w:rsid w:val="00C3250E"/>
    <w:rsid w:val="00C333AB"/>
    <w:rsid w:val="00C3625F"/>
    <w:rsid w:val="00C367A8"/>
    <w:rsid w:val="00C376F6"/>
    <w:rsid w:val="00C37BF2"/>
    <w:rsid w:val="00C40009"/>
    <w:rsid w:val="00C409AC"/>
    <w:rsid w:val="00C40D2A"/>
    <w:rsid w:val="00C42918"/>
    <w:rsid w:val="00C44ABF"/>
    <w:rsid w:val="00C44ADB"/>
    <w:rsid w:val="00C45A14"/>
    <w:rsid w:val="00C472EE"/>
    <w:rsid w:val="00C50276"/>
    <w:rsid w:val="00C50E21"/>
    <w:rsid w:val="00C519E0"/>
    <w:rsid w:val="00C52474"/>
    <w:rsid w:val="00C52C80"/>
    <w:rsid w:val="00C5303F"/>
    <w:rsid w:val="00C53F98"/>
    <w:rsid w:val="00C5422B"/>
    <w:rsid w:val="00C54936"/>
    <w:rsid w:val="00C5591E"/>
    <w:rsid w:val="00C55D15"/>
    <w:rsid w:val="00C56124"/>
    <w:rsid w:val="00C57E9C"/>
    <w:rsid w:val="00C61F7A"/>
    <w:rsid w:val="00C625BC"/>
    <w:rsid w:val="00C627E7"/>
    <w:rsid w:val="00C62A6C"/>
    <w:rsid w:val="00C63E64"/>
    <w:rsid w:val="00C64328"/>
    <w:rsid w:val="00C64D26"/>
    <w:rsid w:val="00C654B7"/>
    <w:rsid w:val="00C665FD"/>
    <w:rsid w:val="00C668C4"/>
    <w:rsid w:val="00C67434"/>
    <w:rsid w:val="00C6751E"/>
    <w:rsid w:val="00C70138"/>
    <w:rsid w:val="00C70B28"/>
    <w:rsid w:val="00C70E1D"/>
    <w:rsid w:val="00C70F06"/>
    <w:rsid w:val="00C74ACA"/>
    <w:rsid w:val="00C74C47"/>
    <w:rsid w:val="00C75444"/>
    <w:rsid w:val="00C76079"/>
    <w:rsid w:val="00C7611C"/>
    <w:rsid w:val="00C76347"/>
    <w:rsid w:val="00C778F6"/>
    <w:rsid w:val="00C77A6A"/>
    <w:rsid w:val="00C77D1E"/>
    <w:rsid w:val="00C77F42"/>
    <w:rsid w:val="00C77F48"/>
    <w:rsid w:val="00C819EF"/>
    <w:rsid w:val="00C82CA5"/>
    <w:rsid w:val="00C83A94"/>
    <w:rsid w:val="00C83B8A"/>
    <w:rsid w:val="00C8443B"/>
    <w:rsid w:val="00C856DF"/>
    <w:rsid w:val="00C86988"/>
    <w:rsid w:val="00C86C5B"/>
    <w:rsid w:val="00C8711A"/>
    <w:rsid w:val="00C9018B"/>
    <w:rsid w:val="00C9039F"/>
    <w:rsid w:val="00C91F5C"/>
    <w:rsid w:val="00C92E25"/>
    <w:rsid w:val="00C9305A"/>
    <w:rsid w:val="00C9365F"/>
    <w:rsid w:val="00C94351"/>
    <w:rsid w:val="00C94BAF"/>
    <w:rsid w:val="00C95481"/>
    <w:rsid w:val="00C956A2"/>
    <w:rsid w:val="00C96756"/>
    <w:rsid w:val="00C9746F"/>
    <w:rsid w:val="00CA08B0"/>
    <w:rsid w:val="00CA280D"/>
    <w:rsid w:val="00CA2878"/>
    <w:rsid w:val="00CA2949"/>
    <w:rsid w:val="00CA3182"/>
    <w:rsid w:val="00CA5A73"/>
    <w:rsid w:val="00CA7A7E"/>
    <w:rsid w:val="00CB0EEE"/>
    <w:rsid w:val="00CB2AF5"/>
    <w:rsid w:val="00CB4348"/>
    <w:rsid w:val="00CB4692"/>
    <w:rsid w:val="00CB5723"/>
    <w:rsid w:val="00CB5E03"/>
    <w:rsid w:val="00CB61F3"/>
    <w:rsid w:val="00CB665B"/>
    <w:rsid w:val="00CB6660"/>
    <w:rsid w:val="00CB6734"/>
    <w:rsid w:val="00CB6D40"/>
    <w:rsid w:val="00CC118D"/>
    <w:rsid w:val="00CC54CA"/>
    <w:rsid w:val="00CC69C0"/>
    <w:rsid w:val="00CC6F6F"/>
    <w:rsid w:val="00CC785D"/>
    <w:rsid w:val="00CD034E"/>
    <w:rsid w:val="00CD066F"/>
    <w:rsid w:val="00CD0CF6"/>
    <w:rsid w:val="00CD2BB9"/>
    <w:rsid w:val="00CD2DD9"/>
    <w:rsid w:val="00CD3FD1"/>
    <w:rsid w:val="00CD5170"/>
    <w:rsid w:val="00CD623A"/>
    <w:rsid w:val="00CD7D49"/>
    <w:rsid w:val="00CE0C78"/>
    <w:rsid w:val="00CE10DB"/>
    <w:rsid w:val="00CE1304"/>
    <w:rsid w:val="00CE2593"/>
    <w:rsid w:val="00CE2DAF"/>
    <w:rsid w:val="00CE3636"/>
    <w:rsid w:val="00CE3F05"/>
    <w:rsid w:val="00CE6931"/>
    <w:rsid w:val="00CE7EF9"/>
    <w:rsid w:val="00CF0DC9"/>
    <w:rsid w:val="00CF1C68"/>
    <w:rsid w:val="00CF25D1"/>
    <w:rsid w:val="00CF2B55"/>
    <w:rsid w:val="00CF2FE0"/>
    <w:rsid w:val="00CF3865"/>
    <w:rsid w:val="00CF4CFA"/>
    <w:rsid w:val="00CF58DB"/>
    <w:rsid w:val="00D020B4"/>
    <w:rsid w:val="00D02477"/>
    <w:rsid w:val="00D0294C"/>
    <w:rsid w:val="00D03DB4"/>
    <w:rsid w:val="00D04A6A"/>
    <w:rsid w:val="00D060D9"/>
    <w:rsid w:val="00D1324D"/>
    <w:rsid w:val="00D17DD0"/>
    <w:rsid w:val="00D202B9"/>
    <w:rsid w:val="00D2093A"/>
    <w:rsid w:val="00D22190"/>
    <w:rsid w:val="00D25C08"/>
    <w:rsid w:val="00D272AA"/>
    <w:rsid w:val="00D30958"/>
    <w:rsid w:val="00D30ADB"/>
    <w:rsid w:val="00D31226"/>
    <w:rsid w:val="00D3242B"/>
    <w:rsid w:val="00D32527"/>
    <w:rsid w:val="00D32786"/>
    <w:rsid w:val="00D33272"/>
    <w:rsid w:val="00D340EE"/>
    <w:rsid w:val="00D359F6"/>
    <w:rsid w:val="00D35C89"/>
    <w:rsid w:val="00D365CB"/>
    <w:rsid w:val="00D36D6A"/>
    <w:rsid w:val="00D37B12"/>
    <w:rsid w:val="00D40866"/>
    <w:rsid w:val="00D40B26"/>
    <w:rsid w:val="00D40D9B"/>
    <w:rsid w:val="00D40E93"/>
    <w:rsid w:val="00D41514"/>
    <w:rsid w:val="00D4163B"/>
    <w:rsid w:val="00D41BF3"/>
    <w:rsid w:val="00D4253A"/>
    <w:rsid w:val="00D44E3F"/>
    <w:rsid w:val="00D4557D"/>
    <w:rsid w:val="00D477BF"/>
    <w:rsid w:val="00D50D23"/>
    <w:rsid w:val="00D52C13"/>
    <w:rsid w:val="00D52E83"/>
    <w:rsid w:val="00D53841"/>
    <w:rsid w:val="00D53C50"/>
    <w:rsid w:val="00D5563A"/>
    <w:rsid w:val="00D57B58"/>
    <w:rsid w:val="00D60B85"/>
    <w:rsid w:val="00D61272"/>
    <w:rsid w:val="00D61D98"/>
    <w:rsid w:val="00D640CB"/>
    <w:rsid w:val="00D64505"/>
    <w:rsid w:val="00D661B6"/>
    <w:rsid w:val="00D66D6E"/>
    <w:rsid w:val="00D70299"/>
    <w:rsid w:val="00D705BC"/>
    <w:rsid w:val="00D7157F"/>
    <w:rsid w:val="00D721CC"/>
    <w:rsid w:val="00D74CDD"/>
    <w:rsid w:val="00D75FAD"/>
    <w:rsid w:val="00D762F4"/>
    <w:rsid w:val="00D76BCA"/>
    <w:rsid w:val="00D77729"/>
    <w:rsid w:val="00D8166E"/>
    <w:rsid w:val="00D821F6"/>
    <w:rsid w:val="00D82622"/>
    <w:rsid w:val="00D837D7"/>
    <w:rsid w:val="00D84B99"/>
    <w:rsid w:val="00D86E6C"/>
    <w:rsid w:val="00D87274"/>
    <w:rsid w:val="00D930BB"/>
    <w:rsid w:val="00D938FE"/>
    <w:rsid w:val="00D9395D"/>
    <w:rsid w:val="00D93C6D"/>
    <w:rsid w:val="00D94C1E"/>
    <w:rsid w:val="00D94C42"/>
    <w:rsid w:val="00D96128"/>
    <w:rsid w:val="00D97064"/>
    <w:rsid w:val="00D97283"/>
    <w:rsid w:val="00DA135D"/>
    <w:rsid w:val="00DA17BB"/>
    <w:rsid w:val="00DA2009"/>
    <w:rsid w:val="00DA29F5"/>
    <w:rsid w:val="00DA2D5C"/>
    <w:rsid w:val="00DA2E68"/>
    <w:rsid w:val="00DA34C4"/>
    <w:rsid w:val="00DA6DE4"/>
    <w:rsid w:val="00DA71F4"/>
    <w:rsid w:val="00DA7963"/>
    <w:rsid w:val="00DA7F46"/>
    <w:rsid w:val="00DB12C1"/>
    <w:rsid w:val="00DB1D75"/>
    <w:rsid w:val="00DB277C"/>
    <w:rsid w:val="00DB2FB4"/>
    <w:rsid w:val="00DB31B1"/>
    <w:rsid w:val="00DB4E45"/>
    <w:rsid w:val="00DB5C51"/>
    <w:rsid w:val="00DB6022"/>
    <w:rsid w:val="00DC105A"/>
    <w:rsid w:val="00DC11F9"/>
    <w:rsid w:val="00DC1398"/>
    <w:rsid w:val="00DC1D52"/>
    <w:rsid w:val="00DC1DD1"/>
    <w:rsid w:val="00DC240D"/>
    <w:rsid w:val="00DC25C4"/>
    <w:rsid w:val="00DC2C93"/>
    <w:rsid w:val="00DC4B69"/>
    <w:rsid w:val="00DC563A"/>
    <w:rsid w:val="00DC58E9"/>
    <w:rsid w:val="00DC59E6"/>
    <w:rsid w:val="00DC5E29"/>
    <w:rsid w:val="00DC5F43"/>
    <w:rsid w:val="00DC685E"/>
    <w:rsid w:val="00DC7A77"/>
    <w:rsid w:val="00DC7C31"/>
    <w:rsid w:val="00DD196E"/>
    <w:rsid w:val="00DD23B0"/>
    <w:rsid w:val="00DD46B2"/>
    <w:rsid w:val="00DD6486"/>
    <w:rsid w:val="00DD66FD"/>
    <w:rsid w:val="00DD6966"/>
    <w:rsid w:val="00DD78DB"/>
    <w:rsid w:val="00DD7A25"/>
    <w:rsid w:val="00DE0885"/>
    <w:rsid w:val="00DE0D18"/>
    <w:rsid w:val="00DE0F13"/>
    <w:rsid w:val="00DE197A"/>
    <w:rsid w:val="00DE1D5F"/>
    <w:rsid w:val="00DE4B89"/>
    <w:rsid w:val="00DE530A"/>
    <w:rsid w:val="00DE5818"/>
    <w:rsid w:val="00DE7307"/>
    <w:rsid w:val="00DE7401"/>
    <w:rsid w:val="00DF0D0C"/>
    <w:rsid w:val="00DF0E02"/>
    <w:rsid w:val="00DF1B2C"/>
    <w:rsid w:val="00DF32D7"/>
    <w:rsid w:val="00DF4384"/>
    <w:rsid w:val="00DF4466"/>
    <w:rsid w:val="00DF59FF"/>
    <w:rsid w:val="00E0029D"/>
    <w:rsid w:val="00E0107E"/>
    <w:rsid w:val="00E01F3D"/>
    <w:rsid w:val="00E02972"/>
    <w:rsid w:val="00E02D43"/>
    <w:rsid w:val="00E0376F"/>
    <w:rsid w:val="00E042A4"/>
    <w:rsid w:val="00E05BE2"/>
    <w:rsid w:val="00E06860"/>
    <w:rsid w:val="00E072E5"/>
    <w:rsid w:val="00E07306"/>
    <w:rsid w:val="00E077F0"/>
    <w:rsid w:val="00E07FC3"/>
    <w:rsid w:val="00E1428F"/>
    <w:rsid w:val="00E14BEC"/>
    <w:rsid w:val="00E15B4D"/>
    <w:rsid w:val="00E1622C"/>
    <w:rsid w:val="00E17376"/>
    <w:rsid w:val="00E204E0"/>
    <w:rsid w:val="00E21481"/>
    <w:rsid w:val="00E21BDD"/>
    <w:rsid w:val="00E22712"/>
    <w:rsid w:val="00E23FE6"/>
    <w:rsid w:val="00E24A68"/>
    <w:rsid w:val="00E24AD7"/>
    <w:rsid w:val="00E24B07"/>
    <w:rsid w:val="00E24B44"/>
    <w:rsid w:val="00E31109"/>
    <w:rsid w:val="00E34AEC"/>
    <w:rsid w:val="00E34F07"/>
    <w:rsid w:val="00E35BF3"/>
    <w:rsid w:val="00E400FD"/>
    <w:rsid w:val="00E40E12"/>
    <w:rsid w:val="00E41B64"/>
    <w:rsid w:val="00E42BB1"/>
    <w:rsid w:val="00E43F38"/>
    <w:rsid w:val="00E46127"/>
    <w:rsid w:val="00E47957"/>
    <w:rsid w:val="00E523F9"/>
    <w:rsid w:val="00E55F78"/>
    <w:rsid w:val="00E56813"/>
    <w:rsid w:val="00E57A84"/>
    <w:rsid w:val="00E57C08"/>
    <w:rsid w:val="00E60815"/>
    <w:rsid w:val="00E61148"/>
    <w:rsid w:val="00E61980"/>
    <w:rsid w:val="00E62C12"/>
    <w:rsid w:val="00E6355B"/>
    <w:rsid w:val="00E63B25"/>
    <w:rsid w:val="00E63C49"/>
    <w:rsid w:val="00E63C62"/>
    <w:rsid w:val="00E64C80"/>
    <w:rsid w:val="00E666EC"/>
    <w:rsid w:val="00E67BB4"/>
    <w:rsid w:val="00E706D9"/>
    <w:rsid w:val="00E715E9"/>
    <w:rsid w:val="00E71BB9"/>
    <w:rsid w:val="00E72564"/>
    <w:rsid w:val="00E74E7F"/>
    <w:rsid w:val="00E757A1"/>
    <w:rsid w:val="00E76043"/>
    <w:rsid w:val="00E771FB"/>
    <w:rsid w:val="00E773D3"/>
    <w:rsid w:val="00E77F1A"/>
    <w:rsid w:val="00E80211"/>
    <w:rsid w:val="00E80740"/>
    <w:rsid w:val="00E80F61"/>
    <w:rsid w:val="00E8225D"/>
    <w:rsid w:val="00E825D4"/>
    <w:rsid w:val="00E82A25"/>
    <w:rsid w:val="00E845A5"/>
    <w:rsid w:val="00E86A8A"/>
    <w:rsid w:val="00E86BF3"/>
    <w:rsid w:val="00E8705F"/>
    <w:rsid w:val="00E924BF"/>
    <w:rsid w:val="00E934F4"/>
    <w:rsid w:val="00EA0C87"/>
    <w:rsid w:val="00EA11E8"/>
    <w:rsid w:val="00EA1FB8"/>
    <w:rsid w:val="00EA20C5"/>
    <w:rsid w:val="00EA2F17"/>
    <w:rsid w:val="00EA4F4E"/>
    <w:rsid w:val="00EA5174"/>
    <w:rsid w:val="00EA51F8"/>
    <w:rsid w:val="00EB07EE"/>
    <w:rsid w:val="00EB1F73"/>
    <w:rsid w:val="00EB2EB0"/>
    <w:rsid w:val="00EB3C92"/>
    <w:rsid w:val="00EB572A"/>
    <w:rsid w:val="00EB6617"/>
    <w:rsid w:val="00EB6772"/>
    <w:rsid w:val="00EB722A"/>
    <w:rsid w:val="00EB783E"/>
    <w:rsid w:val="00EC12BE"/>
    <w:rsid w:val="00EC1936"/>
    <w:rsid w:val="00EC2195"/>
    <w:rsid w:val="00EC2C42"/>
    <w:rsid w:val="00EC3309"/>
    <w:rsid w:val="00EC3587"/>
    <w:rsid w:val="00EC4528"/>
    <w:rsid w:val="00EC462C"/>
    <w:rsid w:val="00EC5D9A"/>
    <w:rsid w:val="00EC6F05"/>
    <w:rsid w:val="00EC756D"/>
    <w:rsid w:val="00EC7B5D"/>
    <w:rsid w:val="00ED07A2"/>
    <w:rsid w:val="00ED0DD5"/>
    <w:rsid w:val="00ED0EAB"/>
    <w:rsid w:val="00ED26B4"/>
    <w:rsid w:val="00ED3171"/>
    <w:rsid w:val="00ED3A45"/>
    <w:rsid w:val="00ED4500"/>
    <w:rsid w:val="00ED61A4"/>
    <w:rsid w:val="00ED6210"/>
    <w:rsid w:val="00ED76DD"/>
    <w:rsid w:val="00EE0187"/>
    <w:rsid w:val="00EE0648"/>
    <w:rsid w:val="00EE11F4"/>
    <w:rsid w:val="00EE172B"/>
    <w:rsid w:val="00EE1C53"/>
    <w:rsid w:val="00EE214B"/>
    <w:rsid w:val="00EE3CAB"/>
    <w:rsid w:val="00EE403C"/>
    <w:rsid w:val="00EE44F4"/>
    <w:rsid w:val="00EE6069"/>
    <w:rsid w:val="00EE67EB"/>
    <w:rsid w:val="00EE6BAE"/>
    <w:rsid w:val="00EE739C"/>
    <w:rsid w:val="00EF02F6"/>
    <w:rsid w:val="00EF1DAF"/>
    <w:rsid w:val="00EF27CF"/>
    <w:rsid w:val="00EF3181"/>
    <w:rsid w:val="00EF3A4F"/>
    <w:rsid w:val="00EF4C74"/>
    <w:rsid w:val="00EF51EA"/>
    <w:rsid w:val="00EF5881"/>
    <w:rsid w:val="00EF6313"/>
    <w:rsid w:val="00EF6A63"/>
    <w:rsid w:val="00EF6A64"/>
    <w:rsid w:val="00EF7D51"/>
    <w:rsid w:val="00F001F2"/>
    <w:rsid w:val="00F0026C"/>
    <w:rsid w:val="00F0249D"/>
    <w:rsid w:val="00F039BB"/>
    <w:rsid w:val="00F05818"/>
    <w:rsid w:val="00F05D37"/>
    <w:rsid w:val="00F105B5"/>
    <w:rsid w:val="00F10F05"/>
    <w:rsid w:val="00F12B72"/>
    <w:rsid w:val="00F143A7"/>
    <w:rsid w:val="00F15848"/>
    <w:rsid w:val="00F15D12"/>
    <w:rsid w:val="00F16215"/>
    <w:rsid w:val="00F17E73"/>
    <w:rsid w:val="00F21780"/>
    <w:rsid w:val="00F21E21"/>
    <w:rsid w:val="00F27233"/>
    <w:rsid w:val="00F3114C"/>
    <w:rsid w:val="00F32F45"/>
    <w:rsid w:val="00F33410"/>
    <w:rsid w:val="00F364D8"/>
    <w:rsid w:val="00F3663E"/>
    <w:rsid w:val="00F369A2"/>
    <w:rsid w:val="00F370DC"/>
    <w:rsid w:val="00F412E7"/>
    <w:rsid w:val="00F42C60"/>
    <w:rsid w:val="00F42D8C"/>
    <w:rsid w:val="00F4480C"/>
    <w:rsid w:val="00F4493B"/>
    <w:rsid w:val="00F457C8"/>
    <w:rsid w:val="00F46B67"/>
    <w:rsid w:val="00F5004D"/>
    <w:rsid w:val="00F506F3"/>
    <w:rsid w:val="00F509D2"/>
    <w:rsid w:val="00F50BB2"/>
    <w:rsid w:val="00F51C3D"/>
    <w:rsid w:val="00F5586A"/>
    <w:rsid w:val="00F56D3B"/>
    <w:rsid w:val="00F57420"/>
    <w:rsid w:val="00F60368"/>
    <w:rsid w:val="00F62D88"/>
    <w:rsid w:val="00F63AF6"/>
    <w:rsid w:val="00F65284"/>
    <w:rsid w:val="00F659E7"/>
    <w:rsid w:val="00F65DF8"/>
    <w:rsid w:val="00F66A53"/>
    <w:rsid w:val="00F67411"/>
    <w:rsid w:val="00F70480"/>
    <w:rsid w:val="00F71B6F"/>
    <w:rsid w:val="00F72873"/>
    <w:rsid w:val="00F760DF"/>
    <w:rsid w:val="00F76199"/>
    <w:rsid w:val="00F76853"/>
    <w:rsid w:val="00F769A7"/>
    <w:rsid w:val="00F777A7"/>
    <w:rsid w:val="00F814A5"/>
    <w:rsid w:val="00F825F3"/>
    <w:rsid w:val="00F839D3"/>
    <w:rsid w:val="00F850D6"/>
    <w:rsid w:val="00F853F9"/>
    <w:rsid w:val="00F85D7C"/>
    <w:rsid w:val="00F86F6D"/>
    <w:rsid w:val="00F87693"/>
    <w:rsid w:val="00F94095"/>
    <w:rsid w:val="00F951A3"/>
    <w:rsid w:val="00F9566F"/>
    <w:rsid w:val="00F962F9"/>
    <w:rsid w:val="00F967F1"/>
    <w:rsid w:val="00FA1CB3"/>
    <w:rsid w:val="00FA2405"/>
    <w:rsid w:val="00FA267E"/>
    <w:rsid w:val="00FA44FF"/>
    <w:rsid w:val="00FA4C50"/>
    <w:rsid w:val="00FA60B2"/>
    <w:rsid w:val="00FA616E"/>
    <w:rsid w:val="00FA74B3"/>
    <w:rsid w:val="00FA7E1D"/>
    <w:rsid w:val="00FB014C"/>
    <w:rsid w:val="00FB0806"/>
    <w:rsid w:val="00FB455D"/>
    <w:rsid w:val="00FB4C33"/>
    <w:rsid w:val="00FB4E40"/>
    <w:rsid w:val="00FC07B1"/>
    <w:rsid w:val="00FC0BAC"/>
    <w:rsid w:val="00FC19B2"/>
    <w:rsid w:val="00FC19BD"/>
    <w:rsid w:val="00FC2971"/>
    <w:rsid w:val="00FC2FD3"/>
    <w:rsid w:val="00FC3000"/>
    <w:rsid w:val="00FC3417"/>
    <w:rsid w:val="00FC64C1"/>
    <w:rsid w:val="00FD08FC"/>
    <w:rsid w:val="00FD2C52"/>
    <w:rsid w:val="00FD2CBB"/>
    <w:rsid w:val="00FD42F2"/>
    <w:rsid w:val="00FD4985"/>
    <w:rsid w:val="00FD7DDC"/>
    <w:rsid w:val="00FE0BCB"/>
    <w:rsid w:val="00FE2E05"/>
    <w:rsid w:val="00FE320A"/>
    <w:rsid w:val="00FE515A"/>
    <w:rsid w:val="00FE5467"/>
    <w:rsid w:val="00FE55DC"/>
    <w:rsid w:val="00FE62CB"/>
    <w:rsid w:val="00FE6411"/>
    <w:rsid w:val="00FE6722"/>
    <w:rsid w:val="00FE7B78"/>
    <w:rsid w:val="00FF1AD6"/>
    <w:rsid w:val="00FF2AAB"/>
    <w:rsid w:val="00FF37B4"/>
    <w:rsid w:val="00FF44E1"/>
    <w:rsid w:val="00FF4E08"/>
    <w:rsid w:val="00FF56BA"/>
    <w:rsid w:val="00FF66AC"/>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42D"/>
    <w:pPr>
      <w:keepNext/>
      <w:numPr>
        <w:numId w:val="4"/>
      </w:numPr>
      <w:spacing w:before="100" w:beforeAutospacing="1" w:after="120"/>
      <w:outlineLvl w:val="0"/>
    </w:pPr>
    <w:rPr>
      <w:rFonts w:ascii="Times New Roman Bold" w:hAnsi="Times New Roman Bold" w:cs="Arial"/>
      <w:b/>
      <w:bCs/>
      <w:kern w:val="32"/>
      <w:szCs w:val="32"/>
    </w:rPr>
  </w:style>
  <w:style w:type="paragraph" w:styleId="Heading2">
    <w:name w:val="heading 2"/>
    <w:basedOn w:val="Heading1"/>
    <w:next w:val="Normal"/>
    <w:link w:val="Heading2Char"/>
    <w:qFormat/>
    <w:rsid w:val="00A4542D"/>
    <w:pPr>
      <w:keepLines/>
      <w:numPr>
        <w:ilvl w:val="1"/>
      </w:numPr>
      <w:spacing w:after="0"/>
      <w:ind w:left="720"/>
      <w:outlineLvl w:val="1"/>
    </w:pPr>
    <w:rPr>
      <w:b w:val="0"/>
      <w:bCs w:val="0"/>
      <w:iCs/>
      <w:szCs w:val="28"/>
    </w:rPr>
  </w:style>
  <w:style w:type="paragraph" w:styleId="Heading3">
    <w:name w:val="heading 3"/>
    <w:basedOn w:val="Normal"/>
    <w:next w:val="Normal"/>
    <w:link w:val="Heading3Char"/>
    <w:qFormat/>
    <w:rsid w:val="00A4542D"/>
    <w:pPr>
      <w:keepNext/>
      <w:keepLines/>
      <w:numPr>
        <w:ilvl w:val="2"/>
        <w:numId w:val="4"/>
      </w:numPr>
      <w:spacing w:before="120" w:after="240"/>
      <w:outlineLvl w:val="2"/>
    </w:pPr>
    <w:rPr>
      <w:rFonts w:cs="Arial"/>
      <w:b/>
      <w:bCs/>
      <w:szCs w:val="26"/>
    </w:rPr>
  </w:style>
  <w:style w:type="paragraph" w:styleId="Heading4">
    <w:name w:val="heading 4"/>
    <w:basedOn w:val="Normal"/>
    <w:next w:val="Normal"/>
    <w:link w:val="Heading4Char"/>
    <w:qFormat/>
    <w:rsid w:val="00A4542D"/>
    <w:pPr>
      <w:keepNext/>
      <w:keepLines/>
      <w:numPr>
        <w:ilvl w:val="3"/>
        <w:numId w:val="4"/>
      </w:numPr>
      <w:spacing w:before="120" w:after="240"/>
      <w:outlineLvl w:val="3"/>
    </w:pPr>
    <w:rPr>
      <w:b/>
      <w:bCs/>
      <w:i/>
      <w:szCs w:val="28"/>
    </w:rPr>
  </w:style>
  <w:style w:type="paragraph" w:styleId="Heading5">
    <w:name w:val="heading 5"/>
    <w:basedOn w:val="Normal"/>
    <w:next w:val="Normal"/>
    <w:link w:val="Heading5Char"/>
    <w:unhideWhenUsed/>
    <w:qFormat/>
    <w:rsid w:val="00A4542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4542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4542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4542D"/>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4542D"/>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42D"/>
    <w:rPr>
      <w:rFonts w:ascii="Times New Roman Bold" w:eastAsia="Times New Roman" w:hAnsi="Times New Roman Bold" w:cs="Arial"/>
      <w:b/>
      <w:bCs/>
      <w:kern w:val="32"/>
      <w:sz w:val="24"/>
      <w:szCs w:val="32"/>
    </w:rPr>
  </w:style>
  <w:style w:type="character" w:customStyle="1" w:styleId="Heading2Char">
    <w:name w:val="Heading 2 Char"/>
    <w:basedOn w:val="DefaultParagraphFont"/>
    <w:link w:val="Heading2"/>
    <w:rsid w:val="00A4542D"/>
    <w:rPr>
      <w:rFonts w:ascii="Times New Roman Bold" w:eastAsia="Times New Roman" w:hAnsi="Times New Roman Bold" w:cs="Arial"/>
      <w:iCs/>
      <w:kern w:val="32"/>
      <w:sz w:val="24"/>
      <w:szCs w:val="28"/>
    </w:rPr>
  </w:style>
  <w:style w:type="character" w:customStyle="1" w:styleId="Heading3Char">
    <w:name w:val="Heading 3 Char"/>
    <w:basedOn w:val="DefaultParagraphFont"/>
    <w:link w:val="Heading3"/>
    <w:rsid w:val="00A4542D"/>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4542D"/>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A4542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A4542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A4542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454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4542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A4542D"/>
    <w:pPr>
      <w:spacing w:before="240" w:after="120"/>
    </w:pPr>
    <w:rPr>
      <w:b/>
      <w:bCs/>
    </w:rPr>
  </w:style>
  <w:style w:type="paragraph" w:customStyle="1" w:styleId="PDSHeading1">
    <w:name w:val="PDSHeading1"/>
    <w:next w:val="Normal"/>
    <w:rsid w:val="00A4542D"/>
    <w:pPr>
      <w:spacing w:after="0" w:line="240" w:lineRule="auto"/>
    </w:pPr>
    <w:rPr>
      <w:rFonts w:ascii="Times New Roman" w:eastAsia="Times New Roman" w:hAnsi="Times New Roman" w:cs="Times New Roman"/>
      <w:b/>
      <w:sz w:val="24"/>
      <w:szCs w:val="20"/>
    </w:rPr>
  </w:style>
  <w:style w:type="paragraph" w:styleId="TOC2">
    <w:name w:val="toc 2"/>
    <w:basedOn w:val="Normal"/>
    <w:next w:val="Normal"/>
    <w:autoRedefine/>
    <w:uiPriority w:val="39"/>
    <w:qFormat/>
    <w:rsid w:val="00A4542D"/>
    <w:pPr>
      <w:spacing w:before="120"/>
      <w:ind w:left="240"/>
    </w:pPr>
    <w:rPr>
      <w:i/>
      <w:iCs/>
    </w:rPr>
  </w:style>
  <w:style w:type="character" w:styleId="Hyperlink">
    <w:name w:val="Hyperlink"/>
    <w:basedOn w:val="DefaultParagraphFont"/>
    <w:rsid w:val="00A4542D"/>
    <w:rPr>
      <w:color w:val="0000FF"/>
      <w:u w:val="single"/>
    </w:rPr>
  </w:style>
  <w:style w:type="paragraph" w:customStyle="1" w:styleId="Heading1a">
    <w:name w:val="Heading 1a"/>
    <w:basedOn w:val="Normal"/>
    <w:next w:val="Normal"/>
    <w:rsid w:val="00A4542D"/>
    <w:pPr>
      <w:keepNext/>
      <w:keepLines/>
      <w:spacing w:before="1440" w:after="240"/>
      <w:jc w:val="center"/>
      <w:outlineLvl w:val="0"/>
    </w:pPr>
    <w:rPr>
      <w:b/>
      <w:caps/>
      <w:sz w:val="32"/>
    </w:rPr>
  </w:style>
  <w:style w:type="paragraph" w:customStyle="1" w:styleId="MainParawithChapter">
    <w:name w:val="Main Para with Chapter#"/>
    <w:basedOn w:val="Normal"/>
    <w:rsid w:val="00A4542D"/>
    <w:pPr>
      <w:spacing w:after="240"/>
      <w:outlineLvl w:val="1"/>
    </w:pPr>
  </w:style>
  <w:style w:type="paragraph" w:customStyle="1" w:styleId="MainParanoChapter">
    <w:name w:val="Main Para no Chapter #"/>
    <w:basedOn w:val="Normal"/>
    <w:rsid w:val="00A4542D"/>
    <w:pPr>
      <w:spacing w:after="240"/>
      <w:outlineLvl w:val="1"/>
    </w:pPr>
  </w:style>
  <w:style w:type="paragraph" w:customStyle="1" w:styleId="Sub-Para1underX">
    <w:name w:val="Sub-Para 1 under X."/>
    <w:basedOn w:val="Normal"/>
    <w:rsid w:val="00A4542D"/>
    <w:pPr>
      <w:numPr>
        <w:ilvl w:val="2"/>
        <w:numId w:val="1"/>
      </w:numPr>
      <w:tabs>
        <w:tab w:val="clear" w:pos="1080"/>
      </w:tabs>
      <w:spacing w:after="240"/>
      <w:ind w:left="1440" w:hanging="720"/>
      <w:outlineLvl w:val="2"/>
    </w:pPr>
  </w:style>
  <w:style w:type="paragraph" w:customStyle="1" w:styleId="Sub-Para1underXY">
    <w:name w:val="Sub-Para 1 under X.Y"/>
    <w:basedOn w:val="Normal"/>
    <w:rsid w:val="00A4542D"/>
    <w:pPr>
      <w:numPr>
        <w:ilvl w:val="2"/>
        <w:numId w:val="2"/>
      </w:numPr>
      <w:tabs>
        <w:tab w:val="clear" w:pos="1440"/>
      </w:tabs>
      <w:spacing w:after="240"/>
      <w:ind w:left="1440" w:hanging="720"/>
      <w:outlineLvl w:val="2"/>
    </w:pPr>
  </w:style>
  <w:style w:type="paragraph" w:customStyle="1" w:styleId="Sub-Para2underX">
    <w:name w:val="Sub-Para 2 under X."/>
    <w:basedOn w:val="Normal"/>
    <w:rsid w:val="00A4542D"/>
    <w:pPr>
      <w:numPr>
        <w:ilvl w:val="3"/>
        <w:numId w:val="1"/>
      </w:numPr>
      <w:tabs>
        <w:tab w:val="clear" w:pos="1800"/>
      </w:tabs>
      <w:spacing w:after="240"/>
      <w:ind w:left="2160" w:hanging="720"/>
      <w:outlineLvl w:val="3"/>
    </w:pPr>
  </w:style>
  <w:style w:type="paragraph" w:customStyle="1" w:styleId="Sub-Para2underXY">
    <w:name w:val="Sub-Para 2 under X.Y"/>
    <w:basedOn w:val="Normal"/>
    <w:rsid w:val="00A4542D"/>
    <w:pPr>
      <w:numPr>
        <w:ilvl w:val="3"/>
        <w:numId w:val="2"/>
      </w:numPr>
      <w:tabs>
        <w:tab w:val="clear" w:pos="2160"/>
      </w:tabs>
      <w:spacing w:after="240"/>
      <w:ind w:left="2160" w:hanging="720"/>
      <w:outlineLvl w:val="3"/>
    </w:pPr>
  </w:style>
  <w:style w:type="paragraph" w:customStyle="1" w:styleId="Sub-Para3underX">
    <w:name w:val="Sub-Para 3 under X."/>
    <w:basedOn w:val="Normal"/>
    <w:rsid w:val="00A4542D"/>
    <w:pPr>
      <w:numPr>
        <w:ilvl w:val="4"/>
        <w:numId w:val="1"/>
      </w:numPr>
      <w:tabs>
        <w:tab w:val="clear" w:pos="1440"/>
      </w:tabs>
      <w:spacing w:after="240"/>
      <w:ind w:left="2880" w:hanging="720"/>
      <w:outlineLvl w:val="4"/>
    </w:pPr>
  </w:style>
  <w:style w:type="paragraph" w:customStyle="1" w:styleId="Sub-Para3underXY">
    <w:name w:val="Sub-Para 3 under X.Y"/>
    <w:basedOn w:val="Normal"/>
    <w:rsid w:val="00A4542D"/>
    <w:pPr>
      <w:numPr>
        <w:ilvl w:val="4"/>
        <w:numId w:val="2"/>
      </w:numPr>
      <w:tabs>
        <w:tab w:val="clear" w:pos="1800"/>
      </w:tabs>
      <w:spacing w:after="240"/>
      <w:ind w:left="2880" w:hanging="720"/>
      <w:outlineLvl w:val="4"/>
    </w:pPr>
  </w:style>
  <w:style w:type="paragraph" w:customStyle="1" w:styleId="Sub-Para4underX">
    <w:name w:val="Sub-Para 4 under X."/>
    <w:basedOn w:val="Normal"/>
    <w:rsid w:val="00A4542D"/>
    <w:pPr>
      <w:numPr>
        <w:ilvl w:val="5"/>
        <w:numId w:val="1"/>
      </w:numPr>
      <w:tabs>
        <w:tab w:val="clear" w:pos="2160"/>
      </w:tabs>
      <w:spacing w:after="240"/>
      <w:ind w:left="3600" w:hanging="720"/>
      <w:outlineLvl w:val="5"/>
    </w:pPr>
  </w:style>
  <w:style w:type="paragraph" w:customStyle="1" w:styleId="Sub-Para4underXY">
    <w:name w:val="Sub-Para 4 under X.Y"/>
    <w:basedOn w:val="Normal"/>
    <w:rsid w:val="00A4542D"/>
    <w:pPr>
      <w:numPr>
        <w:ilvl w:val="5"/>
        <w:numId w:val="2"/>
      </w:numPr>
      <w:tabs>
        <w:tab w:val="clear" w:pos="2520"/>
      </w:tabs>
      <w:spacing w:after="240"/>
      <w:ind w:left="3600" w:hanging="720"/>
      <w:outlineLvl w:val="5"/>
    </w:pPr>
  </w:style>
  <w:style w:type="paragraph" w:customStyle="1" w:styleId="Bullet">
    <w:name w:val="Bullet"/>
    <w:basedOn w:val="Normal"/>
    <w:rsid w:val="00A4542D"/>
    <w:pPr>
      <w:numPr>
        <w:numId w:val="3"/>
      </w:numPr>
      <w:tabs>
        <w:tab w:val="clear" w:pos="1440"/>
      </w:tabs>
    </w:pPr>
  </w:style>
  <w:style w:type="character" w:styleId="CommentReference">
    <w:name w:val="annotation reference"/>
    <w:basedOn w:val="DefaultParagraphFont"/>
    <w:semiHidden/>
    <w:rsid w:val="00A4542D"/>
    <w:rPr>
      <w:sz w:val="16"/>
      <w:szCs w:val="16"/>
    </w:rPr>
  </w:style>
  <w:style w:type="paragraph" w:styleId="CommentText">
    <w:name w:val="annotation text"/>
    <w:basedOn w:val="Normal"/>
    <w:link w:val="CommentTextChar"/>
    <w:semiHidden/>
    <w:rsid w:val="00A4542D"/>
    <w:rPr>
      <w:sz w:val="20"/>
      <w:szCs w:val="20"/>
    </w:rPr>
  </w:style>
  <w:style w:type="character" w:customStyle="1" w:styleId="CommentTextChar">
    <w:name w:val="Comment Text Char"/>
    <w:basedOn w:val="DefaultParagraphFont"/>
    <w:link w:val="CommentText"/>
    <w:semiHidden/>
    <w:rsid w:val="00A4542D"/>
    <w:rPr>
      <w:rFonts w:ascii="Times New Roman" w:eastAsia="Times New Roman" w:hAnsi="Times New Roman" w:cs="Times New Roman"/>
      <w:sz w:val="20"/>
      <w:szCs w:val="20"/>
    </w:rPr>
  </w:style>
  <w:style w:type="character" w:styleId="FollowedHyperlink">
    <w:name w:val="FollowedHyperlink"/>
    <w:basedOn w:val="DefaultParagraphFont"/>
    <w:rsid w:val="00A4542D"/>
    <w:rPr>
      <w:color w:val="800080"/>
      <w:u w:val="single"/>
    </w:rPr>
  </w:style>
  <w:style w:type="character" w:styleId="FootnoteReference">
    <w:name w:val="footnote reference"/>
    <w:aliases w:val="ftref,16 Point,Superscript 6 Point"/>
    <w:basedOn w:val="DefaultParagraphFont"/>
    <w:uiPriority w:val="99"/>
    <w:rsid w:val="00A4542D"/>
    <w:rPr>
      <w:vertAlign w:val="superscript"/>
    </w:rPr>
  </w:style>
  <w:style w:type="paragraph" w:styleId="BodyText2">
    <w:name w:val="Body Text 2"/>
    <w:basedOn w:val="Normal"/>
    <w:link w:val="BodyText2Char"/>
    <w:rsid w:val="00A4542D"/>
    <w:rPr>
      <w:color w:val="000000"/>
      <w:szCs w:val="20"/>
    </w:rPr>
  </w:style>
  <w:style w:type="character" w:customStyle="1" w:styleId="BodyText2Char">
    <w:name w:val="Body Text 2 Char"/>
    <w:basedOn w:val="DefaultParagraphFont"/>
    <w:link w:val="BodyText2"/>
    <w:rsid w:val="00A4542D"/>
    <w:rPr>
      <w:rFonts w:ascii="Times New Roman" w:eastAsia="Times New Roman" w:hAnsi="Times New Roman" w:cs="Times New Roman"/>
      <w:color w:val="000000"/>
      <w:sz w:val="24"/>
      <w:szCs w:val="20"/>
    </w:rPr>
  </w:style>
  <w:style w:type="paragraph" w:styleId="FootnoteText">
    <w:name w:val="footnote text"/>
    <w:aliases w:val="single space,footnote text,fn,FOOTNOTES,FN,Geneva 9,Font: Geneva 9,Boston 10,f,Footnote Text Char Char Char Char Char,Footnote Text Char Char Char Char Char Char,ft,(NECG) Footnote Text Char Char Char,Footnote Text Char1, Char"/>
    <w:basedOn w:val="Normal"/>
    <w:link w:val="FootnoteTextChar"/>
    <w:uiPriority w:val="99"/>
    <w:rsid w:val="00A4542D"/>
    <w:rPr>
      <w:sz w:val="20"/>
      <w:szCs w:val="20"/>
    </w:rPr>
  </w:style>
  <w:style w:type="character" w:customStyle="1" w:styleId="FootnoteTextChar">
    <w:name w:val="Footnote Text Char"/>
    <w:aliases w:val="single space Char,footnote text Char,fn Char,FOOTNOTES Char,FN Char,Geneva 9 Char,Font: Geneva 9 Char,Boston 10 Char,f Char,Footnote Text Char Char Char Char Char Char1,Footnote Text Char Char Char Char Char Char Char,ft Char"/>
    <w:basedOn w:val="DefaultParagraphFont"/>
    <w:link w:val="FootnoteText"/>
    <w:uiPriority w:val="99"/>
    <w:rsid w:val="00A454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A4542D"/>
    <w:rPr>
      <w:rFonts w:ascii="Tahoma" w:hAnsi="Tahoma" w:cs="Tahoma"/>
      <w:sz w:val="16"/>
      <w:szCs w:val="16"/>
    </w:rPr>
  </w:style>
  <w:style w:type="character" w:customStyle="1" w:styleId="BalloonTextChar">
    <w:name w:val="Balloon Text Char"/>
    <w:basedOn w:val="DefaultParagraphFont"/>
    <w:link w:val="BalloonText"/>
    <w:uiPriority w:val="99"/>
    <w:semiHidden/>
    <w:rsid w:val="00A4542D"/>
    <w:rPr>
      <w:rFonts w:ascii="Tahoma" w:eastAsia="Times New Roman" w:hAnsi="Tahoma" w:cs="Tahoma"/>
      <w:sz w:val="16"/>
      <w:szCs w:val="16"/>
    </w:rPr>
  </w:style>
  <w:style w:type="paragraph" w:styleId="ListParagraph">
    <w:name w:val="List Paragraph"/>
    <w:basedOn w:val="Normal"/>
    <w:link w:val="ListParagraphChar"/>
    <w:uiPriority w:val="34"/>
    <w:qFormat/>
    <w:rsid w:val="00A4542D"/>
    <w:pPr>
      <w:ind w:left="720"/>
      <w:contextualSpacing/>
    </w:pPr>
  </w:style>
  <w:style w:type="character" w:customStyle="1" w:styleId="ListParagraphChar">
    <w:name w:val="List Paragraph Char"/>
    <w:basedOn w:val="DefaultParagraphFont"/>
    <w:link w:val="ListParagraph"/>
    <w:uiPriority w:val="34"/>
    <w:rsid w:val="00A4542D"/>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4542D"/>
    <w:rPr>
      <w:rFonts w:ascii="Cambria" w:eastAsia="Calibri" w:hAnsi="Cambria"/>
      <w:sz w:val="22"/>
      <w:szCs w:val="22"/>
      <w:lang w:bidi="en-US"/>
    </w:rPr>
  </w:style>
  <w:style w:type="character" w:customStyle="1" w:styleId="NoSpacingChar">
    <w:name w:val="No Spacing Char"/>
    <w:basedOn w:val="DefaultParagraphFont"/>
    <w:link w:val="NoSpacing"/>
    <w:uiPriority w:val="1"/>
    <w:rsid w:val="00A4542D"/>
    <w:rPr>
      <w:rFonts w:ascii="Cambria" w:eastAsia="Calibri" w:hAnsi="Cambria" w:cs="Times New Roman"/>
      <w:lang w:bidi="en-US"/>
    </w:rPr>
  </w:style>
  <w:style w:type="paragraph" w:customStyle="1" w:styleId="BankNormal">
    <w:name w:val="BankNormal"/>
    <w:basedOn w:val="Normal"/>
    <w:rsid w:val="00A4542D"/>
    <w:pPr>
      <w:spacing w:after="240"/>
    </w:pPr>
    <w:rPr>
      <w:szCs w:val="20"/>
    </w:rPr>
  </w:style>
  <w:style w:type="paragraph" w:styleId="EndnoteText">
    <w:name w:val="endnote text"/>
    <w:basedOn w:val="Normal"/>
    <w:link w:val="EndnoteTextChar"/>
    <w:rsid w:val="00A4542D"/>
    <w:rPr>
      <w:sz w:val="20"/>
      <w:szCs w:val="20"/>
    </w:rPr>
  </w:style>
  <w:style w:type="character" w:customStyle="1" w:styleId="EndnoteTextChar">
    <w:name w:val="Endnote Text Char"/>
    <w:basedOn w:val="DefaultParagraphFont"/>
    <w:link w:val="EndnoteText"/>
    <w:rsid w:val="00A4542D"/>
    <w:rPr>
      <w:rFonts w:ascii="Times New Roman" w:eastAsia="Times New Roman" w:hAnsi="Times New Roman" w:cs="Times New Roman"/>
      <w:sz w:val="20"/>
      <w:szCs w:val="20"/>
    </w:rPr>
  </w:style>
  <w:style w:type="character" w:styleId="EndnoteReference">
    <w:name w:val="endnote reference"/>
    <w:basedOn w:val="DefaultParagraphFont"/>
    <w:rsid w:val="00A4542D"/>
    <w:rPr>
      <w:vertAlign w:val="superscript"/>
    </w:rPr>
  </w:style>
  <w:style w:type="paragraph" w:styleId="CommentSubject">
    <w:name w:val="annotation subject"/>
    <w:basedOn w:val="CommentText"/>
    <w:next w:val="CommentText"/>
    <w:link w:val="CommentSubjectChar"/>
    <w:rsid w:val="00A4542D"/>
    <w:rPr>
      <w:b/>
      <w:bCs/>
    </w:rPr>
  </w:style>
  <w:style w:type="character" w:customStyle="1" w:styleId="CommentSubjectChar">
    <w:name w:val="Comment Subject Char"/>
    <w:basedOn w:val="CommentTextChar"/>
    <w:link w:val="CommentSubject"/>
    <w:rsid w:val="00A4542D"/>
    <w:rPr>
      <w:rFonts w:ascii="Times New Roman" w:eastAsia="Times New Roman" w:hAnsi="Times New Roman" w:cs="Times New Roman"/>
      <w:b/>
      <w:bCs/>
      <w:sz w:val="20"/>
      <w:szCs w:val="20"/>
    </w:rPr>
  </w:style>
  <w:style w:type="paragraph" w:styleId="Header">
    <w:name w:val="header"/>
    <w:basedOn w:val="Normal"/>
    <w:link w:val="HeaderChar"/>
    <w:uiPriority w:val="99"/>
    <w:rsid w:val="00A4542D"/>
    <w:pPr>
      <w:tabs>
        <w:tab w:val="center" w:pos="4680"/>
        <w:tab w:val="right" w:pos="9360"/>
      </w:tabs>
    </w:pPr>
  </w:style>
  <w:style w:type="character" w:customStyle="1" w:styleId="HeaderChar">
    <w:name w:val="Header Char"/>
    <w:basedOn w:val="DefaultParagraphFont"/>
    <w:link w:val="Header"/>
    <w:uiPriority w:val="99"/>
    <w:rsid w:val="00A4542D"/>
    <w:rPr>
      <w:rFonts w:ascii="Times New Roman" w:eastAsia="Times New Roman" w:hAnsi="Times New Roman" w:cs="Times New Roman"/>
      <w:sz w:val="24"/>
      <w:szCs w:val="24"/>
    </w:rPr>
  </w:style>
  <w:style w:type="paragraph" w:styleId="Footer">
    <w:name w:val="footer"/>
    <w:basedOn w:val="Normal"/>
    <w:link w:val="FooterChar"/>
    <w:uiPriority w:val="99"/>
    <w:rsid w:val="00A4542D"/>
    <w:pPr>
      <w:tabs>
        <w:tab w:val="center" w:pos="4680"/>
        <w:tab w:val="right" w:pos="9360"/>
      </w:tabs>
    </w:pPr>
  </w:style>
  <w:style w:type="character" w:customStyle="1" w:styleId="FooterChar">
    <w:name w:val="Footer Char"/>
    <w:basedOn w:val="DefaultParagraphFont"/>
    <w:link w:val="Footer"/>
    <w:uiPriority w:val="99"/>
    <w:rsid w:val="00A4542D"/>
    <w:rPr>
      <w:rFonts w:ascii="Times New Roman" w:eastAsia="Times New Roman" w:hAnsi="Times New Roman" w:cs="Times New Roman"/>
      <w:sz w:val="24"/>
      <w:szCs w:val="24"/>
    </w:rPr>
  </w:style>
  <w:style w:type="character" w:customStyle="1" w:styleId="yshortcuts">
    <w:name w:val="yshortcuts"/>
    <w:basedOn w:val="DefaultParagraphFont"/>
    <w:rsid w:val="00A4542D"/>
  </w:style>
  <w:style w:type="paragraph" w:styleId="Caption">
    <w:name w:val="caption"/>
    <w:basedOn w:val="Normal"/>
    <w:next w:val="Normal"/>
    <w:unhideWhenUsed/>
    <w:qFormat/>
    <w:rsid w:val="00A4542D"/>
    <w:pPr>
      <w:spacing w:after="200"/>
    </w:pPr>
    <w:rPr>
      <w:b/>
      <w:bCs/>
      <w:color w:val="4F81BD" w:themeColor="accent1"/>
      <w:sz w:val="18"/>
      <w:szCs w:val="18"/>
    </w:rPr>
  </w:style>
  <w:style w:type="paragraph" w:styleId="NormalWeb">
    <w:name w:val="Normal (Web)"/>
    <w:basedOn w:val="Normal"/>
    <w:uiPriority w:val="99"/>
    <w:unhideWhenUsed/>
    <w:rsid w:val="00A4542D"/>
    <w:pPr>
      <w:spacing w:before="100" w:beforeAutospacing="1" w:after="100" w:afterAutospacing="1"/>
    </w:pPr>
  </w:style>
  <w:style w:type="paragraph" w:customStyle="1" w:styleId="FRRNormal">
    <w:name w:val="FRR Normal"/>
    <w:basedOn w:val="Normal"/>
    <w:rsid w:val="00A4542D"/>
    <w:pPr>
      <w:jc w:val="both"/>
    </w:pPr>
    <w:rPr>
      <w:rFonts w:ascii="Arial" w:hAnsi="Arial"/>
      <w:sz w:val="21"/>
      <w:szCs w:val="20"/>
      <w:lang w:val="en-GB"/>
    </w:rPr>
  </w:style>
  <w:style w:type="paragraph" w:customStyle="1" w:styleId="FRRListBullet2">
    <w:name w:val="FRR List Bullet 2"/>
    <w:basedOn w:val="FRRNormal"/>
    <w:rsid w:val="00A4542D"/>
    <w:pPr>
      <w:numPr>
        <w:numId w:val="13"/>
      </w:numPr>
      <w:spacing w:before="120"/>
      <w:ind w:left="714" w:hanging="357"/>
    </w:pPr>
  </w:style>
  <w:style w:type="paragraph" w:styleId="BodyText3">
    <w:name w:val="Body Text 3"/>
    <w:basedOn w:val="Normal"/>
    <w:link w:val="BodyText3Char"/>
    <w:rsid w:val="00A4542D"/>
    <w:pPr>
      <w:spacing w:after="120"/>
    </w:pPr>
    <w:rPr>
      <w:sz w:val="16"/>
      <w:szCs w:val="16"/>
    </w:rPr>
  </w:style>
  <w:style w:type="character" w:customStyle="1" w:styleId="BodyText3Char">
    <w:name w:val="Body Text 3 Char"/>
    <w:basedOn w:val="DefaultParagraphFont"/>
    <w:link w:val="BodyText3"/>
    <w:rsid w:val="00A4542D"/>
    <w:rPr>
      <w:rFonts w:ascii="Times New Roman" w:eastAsia="Times New Roman" w:hAnsi="Times New Roman" w:cs="Times New Roman"/>
      <w:sz w:val="16"/>
      <w:szCs w:val="16"/>
    </w:rPr>
  </w:style>
  <w:style w:type="paragraph" w:customStyle="1" w:styleId="ColorfulList-Accent11">
    <w:name w:val="Colorful List - Accent 11"/>
    <w:basedOn w:val="Normal"/>
    <w:uiPriority w:val="99"/>
    <w:qFormat/>
    <w:rsid w:val="00A4542D"/>
    <w:pPr>
      <w:spacing w:after="200" w:line="276" w:lineRule="auto"/>
      <w:ind w:left="720"/>
      <w:contextualSpacing/>
    </w:pPr>
    <w:rPr>
      <w:rFonts w:ascii="Calibri" w:eastAsia="Calibri" w:hAnsi="Calibri" w:cs="Calibri"/>
      <w:sz w:val="22"/>
      <w:szCs w:val="22"/>
    </w:rPr>
  </w:style>
  <w:style w:type="character" w:customStyle="1" w:styleId="profile-meet2">
    <w:name w:val="profile-meet2"/>
    <w:basedOn w:val="DefaultParagraphFont"/>
    <w:rsid w:val="00A4542D"/>
    <w:rPr>
      <w:rFonts w:ascii="Arial" w:hAnsi="Arial" w:cs="Arial" w:hint="default"/>
      <w:b/>
      <w:bCs/>
      <w:i/>
      <w:iCs/>
      <w:color w:val="333333"/>
      <w:sz w:val="32"/>
      <w:szCs w:val="32"/>
    </w:rPr>
  </w:style>
  <w:style w:type="character" w:customStyle="1" w:styleId="profile-name2">
    <w:name w:val="profile-name2"/>
    <w:basedOn w:val="DefaultParagraphFont"/>
    <w:rsid w:val="00A4542D"/>
    <w:rPr>
      <w:color w:val="E98231"/>
      <w:sz w:val="32"/>
      <w:szCs w:val="32"/>
    </w:rPr>
  </w:style>
  <w:style w:type="paragraph" w:styleId="Subtitle">
    <w:name w:val="Subtitle"/>
    <w:basedOn w:val="Normal"/>
    <w:next w:val="Normal"/>
    <w:link w:val="SubtitleChar"/>
    <w:uiPriority w:val="11"/>
    <w:qFormat/>
    <w:rsid w:val="00A4542D"/>
    <w:pPr>
      <w:numPr>
        <w:ilvl w:val="1"/>
      </w:numPr>
      <w:spacing w:after="200" w:line="276" w:lineRule="auto"/>
      <w:jc w:val="both"/>
    </w:pPr>
    <w:rPr>
      <w:rFonts w:ascii="Cambria" w:hAnsi="Cambria"/>
      <w:i/>
      <w:iCs/>
      <w:color w:val="4F81BD"/>
      <w:spacing w:val="15"/>
    </w:rPr>
  </w:style>
  <w:style w:type="character" w:customStyle="1" w:styleId="SubtitleChar">
    <w:name w:val="Subtitle Char"/>
    <w:basedOn w:val="DefaultParagraphFont"/>
    <w:link w:val="Subtitle"/>
    <w:uiPriority w:val="11"/>
    <w:rsid w:val="00A4542D"/>
    <w:rPr>
      <w:rFonts w:ascii="Cambria" w:eastAsia="Times New Roman" w:hAnsi="Cambria" w:cs="Times New Roman"/>
      <w:i/>
      <w:iCs/>
      <w:color w:val="4F81BD"/>
      <w:spacing w:val="15"/>
      <w:sz w:val="24"/>
      <w:szCs w:val="24"/>
    </w:rPr>
  </w:style>
  <w:style w:type="paragraph" w:customStyle="1" w:styleId="Nina2">
    <w:name w:val="Nina2"/>
    <w:basedOn w:val="NormalWeb"/>
    <w:qFormat/>
    <w:rsid w:val="00A4542D"/>
    <w:pPr>
      <w:numPr>
        <w:numId w:val="20"/>
      </w:numPr>
      <w:tabs>
        <w:tab w:val="left" w:pos="0"/>
        <w:tab w:val="left" w:pos="360"/>
      </w:tabs>
      <w:spacing w:before="0" w:beforeAutospacing="0" w:after="240" w:afterAutospacing="0"/>
    </w:pPr>
    <w:rPr>
      <w:b/>
    </w:rPr>
  </w:style>
  <w:style w:type="character" w:styleId="Strong">
    <w:name w:val="Strong"/>
    <w:basedOn w:val="DefaultParagraphFont"/>
    <w:uiPriority w:val="22"/>
    <w:qFormat/>
    <w:rsid w:val="00A4542D"/>
    <w:rPr>
      <w:b/>
      <w:bCs/>
    </w:rPr>
  </w:style>
  <w:style w:type="paragraph" w:styleId="Revision">
    <w:name w:val="Revision"/>
    <w:hidden/>
    <w:uiPriority w:val="99"/>
    <w:semiHidden/>
    <w:rsid w:val="00790D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A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42D"/>
    <w:pPr>
      <w:keepNext/>
      <w:numPr>
        <w:numId w:val="4"/>
      </w:numPr>
      <w:spacing w:before="100" w:beforeAutospacing="1" w:after="120"/>
      <w:outlineLvl w:val="0"/>
    </w:pPr>
    <w:rPr>
      <w:rFonts w:ascii="Times New Roman Bold" w:hAnsi="Times New Roman Bold" w:cs="Arial"/>
      <w:b/>
      <w:bCs/>
      <w:kern w:val="32"/>
      <w:szCs w:val="32"/>
    </w:rPr>
  </w:style>
  <w:style w:type="paragraph" w:styleId="Heading2">
    <w:name w:val="heading 2"/>
    <w:basedOn w:val="Heading1"/>
    <w:next w:val="Normal"/>
    <w:link w:val="Heading2Char"/>
    <w:qFormat/>
    <w:rsid w:val="00A4542D"/>
    <w:pPr>
      <w:keepLines/>
      <w:numPr>
        <w:ilvl w:val="1"/>
      </w:numPr>
      <w:spacing w:after="0"/>
      <w:ind w:left="720"/>
      <w:outlineLvl w:val="1"/>
    </w:pPr>
    <w:rPr>
      <w:b w:val="0"/>
      <w:bCs w:val="0"/>
      <w:iCs/>
      <w:szCs w:val="28"/>
    </w:rPr>
  </w:style>
  <w:style w:type="paragraph" w:styleId="Heading3">
    <w:name w:val="heading 3"/>
    <w:basedOn w:val="Normal"/>
    <w:next w:val="Normal"/>
    <w:link w:val="Heading3Char"/>
    <w:qFormat/>
    <w:rsid w:val="00A4542D"/>
    <w:pPr>
      <w:keepNext/>
      <w:keepLines/>
      <w:numPr>
        <w:ilvl w:val="2"/>
        <w:numId w:val="4"/>
      </w:numPr>
      <w:spacing w:before="120" w:after="240"/>
      <w:outlineLvl w:val="2"/>
    </w:pPr>
    <w:rPr>
      <w:rFonts w:cs="Arial"/>
      <w:b/>
      <w:bCs/>
      <w:szCs w:val="26"/>
    </w:rPr>
  </w:style>
  <w:style w:type="paragraph" w:styleId="Heading4">
    <w:name w:val="heading 4"/>
    <w:basedOn w:val="Normal"/>
    <w:next w:val="Normal"/>
    <w:link w:val="Heading4Char"/>
    <w:qFormat/>
    <w:rsid w:val="00A4542D"/>
    <w:pPr>
      <w:keepNext/>
      <w:keepLines/>
      <w:numPr>
        <w:ilvl w:val="3"/>
        <w:numId w:val="4"/>
      </w:numPr>
      <w:spacing w:before="120" w:after="240"/>
      <w:outlineLvl w:val="3"/>
    </w:pPr>
    <w:rPr>
      <w:b/>
      <w:bCs/>
      <w:i/>
      <w:szCs w:val="28"/>
    </w:rPr>
  </w:style>
  <w:style w:type="paragraph" w:styleId="Heading5">
    <w:name w:val="heading 5"/>
    <w:basedOn w:val="Normal"/>
    <w:next w:val="Normal"/>
    <w:link w:val="Heading5Char"/>
    <w:unhideWhenUsed/>
    <w:qFormat/>
    <w:rsid w:val="00A4542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4542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4542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4542D"/>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4542D"/>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42D"/>
    <w:rPr>
      <w:rFonts w:ascii="Times New Roman Bold" w:eastAsia="Times New Roman" w:hAnsi="Times New Roman Bold" w:cs="Arial"/>
      <w:b/>
      <w:bCs/>
      <w:kern w:val="32"/>
      <w:sz w:val="24"/>
      <w:szCs w:val="32"/>
    </w:rPr>
  </w:style>
  <w:style w:type="character" w:customStyle="1" w:styleId="Heading2Char">
    <w:name w:val="Heading 2 Char"/>
    <w:basedOn w:val="DefaultParagraphFont"/>
    <w:link w:val="Heading2"/>
    <w:rsid w:val="00A4542D"/>
    <w:rPr>
      <w:rFonts w:ascii="Times New Roman Bold" w:eastAsia="Times New Roman" w:hAnsi="Times New Roman Bold" w:cs="Arial"/>
      <w:iCs/>
      <w:kern w:val="32"/>
      <w:sz w:val="24"/>
      <w:szCs w:val="28"/>
    </w:rPr>
  </w:style>
  <w:style w:type="character" w:customStyle="1" w:styleId="Heading3Char">
    <w:name w:val="Heading 3 Char"/>
    <w:basedOn w:val="DefaultParagraphFont"/>
    <w:link w:val="Heading3"/>
    <w:rsid w:val="00A4542D"/>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4542D"/>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A4542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A4542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A4542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454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4542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A4542D"/>
    <w:pPr>
      <w:spacing w:before="240" w:after="120"/>
    </w:pPr>
    <w:rPr>
      <w:b/>
      <w:bCs/>
    </w:rPr>
  </w:style>
  <w:style w:type="paragraph" w:customStyle="1" w:styleId="PDSHeading1">
    <w:name w:val="PDSHeading1"/>
    <w:next w:val="Normal"/>
    <w:rsid w:val="00A4542D"/>
    <w:pPr>
      <w:spacing w:after="0" w:line="240" w:lineRule="auto"/>
    </w:pPr>
    <w:rPr>
      <w:rFonts w:ascii="Times New Roman" w:eastAsia="Times New Roman" w:hAnsi="Times New Roman" w:cs="Times New Roman"/>
      <w:b/>
      <w:sz w:val="24"/>
      <w:szCs w:val="20"/>
    </w:rPr>
  </w:style>
  <w:style w:type="paragraph" w:styleId="TOC2">
    <w:name w:val="toc 2"/>
    <w:basedOn w:val="Normal"/>
    <w:next w:val="Normal"/>
    <w:autoRedefine/>
    <w:uiPriority w:val="39"/>
    <w:qFormat/>
    <w:rsid w:val="00A4542D"/>
    <w:pPr>
      <w:spacing w:before="120"/>
      <w:ind w:left="240"/>
    </w:pPr>
    <w:rPr>
      <w:i/>
      <w:iCs/>
    </w:rPr>
  </w:style>
  <w:style w:type="character" w:styleId="Hyperlink">
    <w:name w:val="Hyperlink"/>
    <w:basedOn w:val="DefaultParagraphFont"/>
    <w:rsid w:val="00A4542D"/>
    <w:rPr>
      <w:color w:val="0000FF"/>
      <w:u w:val="single"/>
    </w:rPr>
  </w:style>
  <w:style w:type="paragraph" w:customStyle="1" w:styleId="Heading1a">
    <w:name w:val="Heading 1a"/>
    <w:basedOn w:val="Normal"/>
    <w:next w:val="Normal"/>
    <w:rsid w:val="00A4542D"/>
    <w:pPr>
      <w:keepNext/>
      <w:keepLines/>
      <w:spacing w:before="1440" w:after="240"/>
      <w:jc w:val="center"/>
      <w:outlineLvl w:val="0"/>
    </w:pPr>
    <w:rPr>
      <w:b/>
      <w:caps/>
      <w:sz w:val="32"/>
    </w:rPr>
  </w:style>
  <w:style w:type="paragraph" w:customStyle="1" w:styleId="MainParawithChapter">
    <w:name w:val="Main Para with Chapter#"/>
    <w:basedOn w:val="Normal"/>
    <w:rsid w:val="00A4542D"/>
    <w:pPr>
      <w:spacing w:after="240"/>
      <w:outlineLvl w:val="1"/>
    </w:pPr>
  </w:style>
  <w:style w:type="paragraph" w:customStyle="1" w:styleId="MainParanoChapter">
    <w:name w:val="Main Para no Chapter #"/>
    <w:basedOn w:val="Normal"/>
    <w:rsid w:val="00A4542D"/>
    <w:pPr>
      <w:spacing w:after="240"/>
      <w:outlineLvl w:val="1"/>
    </w:pPr>
  </w:style>
  <w:style w:type="paragraph" w:customStyle="1" w:styleId="Sub-Para1underX">
    <w:name w:val="Sub-Para 1 under X."/>
    <w:basedOn w:val="Normal"/>
    <w:rsid w:val="00A4542D"/>
    <w:pPr>
      <w:numPr>
        <w:ilvl w:val="2"/>
        <w:numId w:val="1"/>
      </w:numPr>
      <w:tabs>
        <w:tab w:val="clear" w:pos="1080"/>
      </w:tabs>
      <w:spacing w:after="240"/>
      <w:ind w:left="1440" w:hanging="720"/>
      <w:outlineLvl w:val="2"/>
    </w:pPr>
  </w:style>
  <w:style w:type="paragraph" w:customStyle="1" w:styleId="Sub-Para1underXY">
    <w:name w:val="Sub-Para 1 under X.Y"/>
    <w:basedOn w:val="Normal"/>
    <w:rsid w:val="00A4542D"/>
    <w:pPr>
      <w:numPr>
        <w:ilvl w:val="2"/>
        <w:numId w:val="2"/>
      </w:numPr>
      <w:tabs>
        <w:tab w:val="clear" w:pos="1440"/>
      </w:tabs>
      <w:spacing w:after="240"/>
      <w:ind w:left="1440" w:hanging="720"/>
      <w:outlineLvl w:val="2"/>
    </w:pPr>
  </w:style>
  <w:style w:type="paragraph" w:customStyle="1" w:styleId="Sub-Para2underX">
    <w:name w:val="Sub-Para 2 under X."/>
    <w:basedOn w:val="Normal"/>
    <w:rsid w:val="00A4542D"/>
    <w:pPr>
      <w:numPr>
        <w:ilvl w:val="3"/>
        <w:numId w:val="1"/>
      </w:numPr>
      <w:tabs>
        <w:tab w:val="clear" w:pos="1800"/>
      </w:tabs>
      <w:spacing w:after="240"/>
      <w:ind w:left="2160" w:hanging="720"/>
      <w:outlineLvl w:val="3"/>
    </w:pPr>
  </w:style>
  <w:style w:type="paragraph" w:customStyle="1" w:styleId="Sub-Para2underXY">
    <w:name w:val="Sub-Para 2 under X.Y"/>
    <w:basedOn w:val="Normal"/>
    <w:rsid w:val="00A4542D"/>
    <w:pPr>
      <w:numPr>
        <w:ilvl w:val="3"/>
        <w:numId w:val="2"/>
      </w:numPr>
      <w:tabs>
        <w:tab w:val="clear" w:pos="2160"/>
      </w:tabs>
      <w:spacing w:after="240"/>
      <w:ind w:left="2160" w:hanging="720"/>
      <w:outlineLvl w:val="3"/>
    </w:pPr>
  </w:style>
  <w:style w:type="paragraph" w:customStyle="1" w:styleId="Sub-Para3underX">
    <w:name w:val="Sub-Para 3 under X."/>
    <w:basedOn w:val="Normal"/>
    <w:rsid w:val="00A4542D"/>
    <w:pPr>
      <w:numPr>
        <w:ilvl w:val="4"/>
        <w:numId w:val="1"/>
      </w:numPr>
      <w:tabs>
        <w:tab w:val="clear" w:pos="1440"/>
      </w:tabs>
      <w:spacing w:after="240"/>
      <w:ind w:left="2880" w:hanging="720"/>
      <w:outlineLvl w:val="4"/>
    </w:pPr>
  </w:style>
  <w:style w:type="paragraph" w:customStyle="1" w:styleId="Sub-Para3underXY">
    <w:name w:val="Sub-Para 3 under X.Y"/>
    <w:basedOn w:val="Normal"/>
    <w:rsid w:val="00A4542D"/>
    <w:pPr>
      <w:numPr>
        <w:ilvl w:val="4"/>
        <w:numId w:val="2"/>
      </w:numPr>
      <w:tabs>
        <w:tab w:val="clear" w:pos="1800"/>
      </w:tabs>
      <w:spacing w:after="240"/>
      <w:ind w:left="2880" w:hanging="720"/>
      <w:outlineLvl w:val="4"/>
    </w:pPr>
  </w:style>
  <w:style w:type="paragraph" w:customStyle="1" w:styleId="Sub-Para4underX">
    <w:name w:val="Sub-Para 4 under X."/>
    <w:basedOn w:val="Normal"/>
    <w:rsid w:val="00A4542D"/>
    <w:pPr>
      <w:numPr>
        <w:ilvl w:val="5"/>
        <w:numId w:val="1"/>
      </w:numPr>
      <w:tabs>
        <w:tab w:val="clear" w:pos="2160"/>
      </w:tabs>
      <w:spacing w:after="240"/>
      <w:ind w:left="3600" w:hanging="720"/>
      <w:outlineLvl w:val="5"/>
    </w:pPr>
  </w:style>
  <w:style w:type="paragraph" w:customStyle="1" w:styleId="Sub-Para4underXY">
    <w:name w:val="Sub-Para 4 under X.Y"/>
    <w:basedOn w:val="Normal"/>
    <w:rsid w:val="00A4542D"/>
    <w:pPr>
      <w:numPr>
        <w:ilvl w:val="5"/>
        <w:numId w:val="2"/>
      </w:numPr>
      <w:tabs>
        <w:tab w:val="clear" w:pos="2520"/>
      </w:tabs>
      <w:spacing w:after="240"/>
      <w:ind w:left="3600" w:hanging="720"/>
      <w:outlineLvl w:val="5"/>
    </w:pPr>
  </w:style>
  <w:style w:type="paragraph" w:customStyle="1" w:styleId="Bullet">
    <w:name w:val="Bullet"/>
    <w:basedOn w:val="Normal"/>
    <w:rsid w:val="00A4542D"/>
    <w:pPr>
      <w:numPr>
        <w:numId w:val="3"/>
      </w:numPr>
      <w:tabs>
        <w:tab w:val="clear" w:pos="1440"/>
      </w:tabs>
    </w:pPr>
  </w:style>
  <w:style w:type="character" w:styleId="CommentReference">
    <w:name w:val="annotation reference"/>
    <w:basedOn w:val="DefaultParagraphFont"/>
    <w:semiHidden/>
    <w:rsid w:val="00A4542D"/>
    <w:rPr>
      <w:sz w:val="16"/>
      <w:szCs w:val="16"/>
    </w:rPr>
  </w:style>
  <w:style w:type="paragraph" w:styleId="CommentText">
    <w:name w:val="annotation text"/>
    <w:basedOn w:val="Normal"/>
    <w:link w:val="CommentTextChar"/>
    <w:semiHidden/>
    <w:rsid w:val="00A4542D"/>
    <w:rPr>
      <w:sz w:val="20"/>
      <w:szCs w:val="20"/>
    </w:rPr>
  </w:style>
  <w:style w:type="character" w:customStyle="1" w:styleId="CommentTextChar">
    <w:name w:val="Comment Text Char"/>
    <w:basedOn w:val="DefaultParagraphFont"/>
    <w:link w:val="CommentText"/>
    <w:semiHidden/>
    <w:rsid w:val="00A4542D"/>
    <w:rPr>
      <w:rFonts w:ascii="Times New Roman" w:eastAsia="Times New Roman" w:hAnsi="Times New Roman" w:cs="Times New Roman"/>
      <w:sz w:val="20"/>
      <w:szCs w:val="20"/>
    </w:rPr>
  </w:style>
  <w:style w:type="character" w:styleId="FollowedHyperlink">
    <w:name w:val="FollowedHyperlink"/>
    <w:basedOn w:val="DefaultParagraphFont"/>
    <w:rsid w:val="00A4542D"/>
    <w:rPr>
      <w:color w:val="800080"/>
      <w:u w:val="single"/>
    </w:rPr>
  </w:style>
  <w:style w:type="character" w:styleId="FootnoteReference">
    <w:name w:val="footnote reference"/>
    <w:aliases w:val="ftref,16 Point,Superscript 6 Point"/>
    <w:basedOn w:val="DefaultParagraphFont"/>
    <w:uiPriority w:val="99"/>
    <w:rsid w:val="00A4542D"/>
    <w:rPr>
      <w:vertAlign w:val="superscript"/>
    </w:rPr>
  </w:style>
  <w:style w:type="paragraph" w:styleId="BodyText2">
    <w:name w:val="Body Text 2"/>
    <w:basedOn w:val="Normal"/>
    <w:link w:val="BodyText2Char"/>
    <w:rsid w:val="00A4542D"/>
    <w:rPr>
      <w:color w:val="000000"/>
      <w:szCs w:val="20"/>
    </w:rPr>
  </w:style>
  <w:style w:type="character" w:customStyle="1" w:styleId="BodyText2Char">
    <w:name w:val="Body Text 2 Char"/>
    <w:basedOn w:val="DefaultParagraphFont"/>
    <w:link w:val="BodyText2"/>
    <w:rsid w:val="00A4542D"/>
    <w:rPr>
      <w:rFonts w:ascii="Times New Roman" w:eastAsia="Times New Roman" w:hAnsi="Times New Roman" w:cs="Times New Roman"/>
      <w:color w:val="000000"/>
      <w:sz w:val="24"/>
      <w:szCs w:val="20"/>
    </w:rPr>
  </w:style>
  <w:style w:type="paragraph" w:styleId="FootnoteText">
    <w:name w:val="footnote text"/>
    <w:aliases w:val="single space,footnote text,fn,FOOTNOTES,FN,Geneva 9,Font: Geneva 9,Boston 10,f,Footnote Text Char Char Char Char Char,Footnote Text Char Char Char Char Char Char,ft,(NECG) Footnote Text Char Char Char,Footnote Text Char1, Char"/>
    <w:basedOn w:val="Normal"/>
    <w:link w:val="FootnoteTextChar"/>
    <w:uiPriority w:val="99"/>
    <w:rsid w:val="00A4542D"/>
    <w:rPr>
      <w:sz w:val="20"/>
      <w:szCs w:val="20"/>
    </w:rPr>
  </w:style>
  <w:style w:type="character" w:customStyle="1" w:styleId="FootnoteTextChar">
    <w:name w:val="Footnote Text Char"/>
    <w:aliases w:val="single space Char,footnote text Char,fn Char,FOOTNOTES Char,FN Char,Geneva 9 Char,Font: Geneva 9 Char,Boston 10 Char,f Char,Footnote Text Char Char Char Char Char Char1,Footnote Text Char Char Char Char Char Char Char,ft Char"/>
    <w:basedOn w:val="DefaultParagraphFont"/>
    <w:link w:val="FootnoteText"/>
    <w:uiPriority w:val="99"/>
    <w:rsid w:val="00A454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A4542D"/>
    <w:rPr>
      <w:rFonts w:ascii="Tahoma" w:hAnsi="Tahoma" w:cs="Tahoma"/>
      <w:sz w:val="16"/>
      <w:szCs w:val="16"/>
    </w:rPr>
  </w:style>
  <w:style w:type="character" w:customStyle="1" w:styleId="BalloonTextChar">
    <w:name w:val="Balloon Text Char"/>
    <w:basedOn w:val="DefaultParagraphFont"/>
    <w:link w:val="BalloonText"/>
    <w:uiPriority w:val="99"/>
    <w:semiHidden/>
    <w:rsid w:val="00A4542D"/>
    <w:rPr>
      <w:rFonts w:ascii="Tahoma" w:eastAsia="Times New Roman" w:hAnsi="Tahoma" w:cs="Tahoma"/>
      <w:sz w:val="16"/>
      <w:szCs w:val="16"/>
    </w:rPr>
  </w:style>
  <w:style w:type="paragraph" w:styleId="ListParagraph">
    <w:name w:val="List Paragraph"/>
    <w:basedOn w:val="Normal"/>
    <w:link w:val="ListParagraphChar"/>
    <w:uiPriority w:val="34"/>
    <w:qFormat/>
    <w:rsid w:val="00A4542D"/>
    <w:pPr>
      <w:ind w:left="720"/>
      <w:contextualSpacing/>
    </w:pPr>
  </w:style>
  <w:style w:type="character" w:customStyle="1" w:styleId="ListParagraphChar">
    <w:name w:val="List Paragraph Char"/>
    <w:basedOn w:val="DefaultParagraphFont"/>
    <w:link w:val="ListParagraph"/>
    <w:uiPriority w:val="34"/>
    <w:rsid w:val="00A4542D"/>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4542D"/>
    <w:rPr>
      <w:rFonts w:ascii="Cambria" w:eastAsia="Calibri" w:hAnsi="Cambria"/>
      <w:sz w:val="22"/>
      <w:szCs w:val="22"/>
      <w:lang w:bidi="en-US"/>
    </w:rPr>
  </w:style>
  <w:style w:type="character" w:customStyle="1" w:styleId="NoSpacingChar">
    <w:name w:val="No Spacing Char"/>
    <w:basedOn w:val="DefaultParagraphFont"/>
    <w:link w:val="NoSpacing"/>
    <w:uiPriority w:val="1"/>
    <w:rsid w:val="00A4542D"/>
    <w:rPr>
      <w:rFonts w:ascii="Cambria" w:eastAsia="Calibri" w:hAnsi="Cambria" w:cs="Times New Roman"/>
      <w:lang w:bidi="en-US"/>
    </w:rPr>
  </w:style>
  <w:style w:type="paragraph" w:customStyle="1" w:styleId="BankNormal">
    <w:name w:val="BankNormal"/>
    <w:basedOn w:val="Normal"/>
    <w:rsid w:val="00A4542D"/>
    <w:pPr>
      <w:spacing w:after="240"/>
    </w:pPr>
    <w:rPr>
      <w:szCs w:val="20"/>
    </w:rPr>
  </w:style>
  <w:style w:type="paragraph" w:styleId="EndnoteText">
    <w:name w:val="endnote text"/>
    <w:basedOn w:val="Normal"/>
    <w:link w:val="EndnoteTextChar"/>
    <w:rsid w:val="00A4542D"/>
    <w:rPr>
      <w:sz w:val="20"/>
      <w:szCs w:val="20"/>
    </w:rPr>
  </w:style>
  <w:style w:type="character" w:customStyle="1" w:styleId="EndnoteTextChar">
    <w:name w:val="Endnote Text Char"/>
    <w:basedOn w:val="DefaultParagraphFont"/>
    <w:link w:val="EndnoteText"/>
    <w:rsid w:val="00A4542D"/>
    <w:rPr>
      <w:rFonts w:ascii="Times New Roman" w:eastAsia="Times New Roman" w:hAnsi="Times New Roman" w:cs="Times New Roman"/>
      <w:sz w:val="20"/>
      <w:szCs w:val="20"/>
    </w:rPr>
  </w:style>
  <w:style w:type="character" w:styleId="EndnoteReference">
    <w:name w:val="endnote reference"/>
    <w:basedOn w:val="DefaultParagraphFont"/>
    <w:rsid w:val="00A4542D"/>
    <w:rPr>
      <w:vertAlign w:val="superscript"/>
    </w:rPr>
  </w:style>
  <w:style w:type="paragraph" w:styleId="CommentSubject">
    <w:name w:val="annotation subject"/>
    <w:basedOn w:val="CommentText"/>
    <w:next w:val="CommentText"/>
    <w:link w:val="CommentSubjectChar"/>
    <w:rsid w:val="00A4542D"/>
    <w:rPr>
      <w:b/>
      <w:bCs/>
    </w:rPr>
  </w:style>
  <w:style w:type="character" w:customStyle="1" w:styleId="CommentSubjectChar">
    <w:name w:val="Comment Subject Char"/>
    <w:basedOn w:val="CommentTextChar"/>
    <w:link w:val="CommentSubject"/>
    <w:rsid w:val="00A4542D"/>
    <w:rPr>
      <w:rFonts w:ascii="Times New Roman" w:eastAsia="Times New Roman" w:hAnsi="Times New Roman" w:cs="Times New Roman"/>
      <w:b/>
      <w:bCs/>
      <w:sz w:val="20"/>
      <w:szCs w:val="20"/>
    </w:rPr>
  </w:style>
  <w:style w:type="paragraph" w:styleId="Header">
    <w:name w:val="header"/>
    <w:basedOn w:val="Normal"/>
    <w:link w:val="HeaderChar"/>
    <w:uiPriority w:val="99"/>
    <w:rsid w:val="00A4542D"/>
    <w:pPr>
      <w:tabs>
        <w:tab w:val="center" w:pos="4680"/>
        <w:tab w:val="right" w:pos="9360"/>
      </w:tabs>
    </w:pPr>
  </w:style>
  <w:style w:type="character" w:customStyle="1" w:styleId="HeaderChar">
    <w:name w:val="Header Char"/>
    <w:basedOn w:val="DefaultParagraphFont"/>
    <w:link w:val="Header"/>
    <w:uiPriority w:val="99"/>
    <w:rsid w:val="00A4542D"/>
    <w:rPr>
      <w:rFonts w:ascii="Times New Roman" w:eastAsia="Times New Roman" w:hAnsi="Times New Roman" w:cs="Times New Roman"/>
      <w:sz w:val="24"/>
      <w:szCs w:val="24"/>
    </w:rPr>
  </w:style>
  <w:style w:type="paragraph" w:styleId="Footer">
    <w:name w:val="footer"/>
    <w:basedOn w:val="Normal"/>
    <w:link w:val="FooterChar"/>
    <w:uiPriority w:val="99"/>
    <w:rsid w:val="00A4542D"/>
    <w:pPr>
      <w:tabs>
        <w:tab w:val="center" w:pos="4680"/>
        <w:tab w:val="right" w:pos="9360"/>
      </w:tabs>
    </w:pPr>
  </w:style>
  <w:style w:type="character" w:customStyle="1" w:styleId="FooterChar">
    <w:name w:val="Footer Char"/>
    <w:basedOn w:val="DefaultParagraphFont"/>
    <w:link w:val="Footer"/>
    <w:uiPriority w:val="99"/>
    <w:rsid w:val="00A4542D"/>
    <w:rPr>
      <w:rFonts w:ascii="Times New Roman" w:eastAsia="Times New Roman" w:hAnsi="Times New Roman" w:cs="Times New Roman"/>
      <w:sz w:val="24"/>
      <w:szCs w:val="24"/>
    </w:rPr>
  </w:style>
  <w:style w:type="character" w:customStyle="1" w:styleId="yshortcuts">
    <w:name w:val="yshortcuts"/>
    <w:basedOn w:val="DefaultParagraphFont"/>
    <w:rsid w:val="00A4542D"/>
  </w:style>
  <w:style w:type="paragraph" w:styleId="Caption">
    <w:name w:val="caption"/>
    <w:basedOn w:val="Normal"/>
    <w:next w:val="Normal"/>
    <w:unhideWhenUsed/>
    <w:qFormat/>
    <w:rsid w:val="00A4542D"/>
    <w:pPr>
      <w:spacing w:after="200"/>
    </w:pPr>
    <w:rPr>
      <w:b/>
      <w:bCs/>
      <w:color w:val="4F81BD" w:themeColor="accent1"/>
      <w:sz w:val="18"/>
      <w:szCs w:val="18"/>
    </w:rPr>
  </w:style>
  <w:style w:type="paragraph" w:styleId="NormalWeb">
    <w:name w:val="Normal (Web)"/>
    <w:basedOn w:val="Normal"/>
    <w:uiPriority w:val="99"/>
    <w:unhideWhenUsed/>
    <w:rsid w:val="00A4542D"/>
    <w:pPr>
      <w:spacing w:before="100" w:beforeAutospacing="1" w:after="100" w:afterAutospacing="1"/>
    </w:pPr>
  </w:style>
  <w:style w:type="paragraph" w:customStyle="1" w:styleId="FRRNormal">
    <w:name w:val="FRR Normal"/>
    <w:basedOn w:val="Normal"/>
    <w:rsid w:val="00A4542D"/>
    <w:pPr>
      <w:jc w:val="both"/>
    </w:pPr>
    <w:rPr>
      <w:rFonts w:ascii="Arial" w:hAnsi="Arial"/>
      <w:sz w:val="21"/>
      <w:szCs w:val="20"/>
      <w:lang w:val="en-GB"/>
    </w:rPr>
  </w:style>
  <w:style w:type="paragraph" w:customStyle="1" w:styleId="FRRListBullet2">
    <w:name w:val="FRR List Bullet 2"/>
    <w:basedOn w:val="FRRNormal"/>
    <w:rsid w:val="00A4542D"/>
    <w:pPr>
      <w:numPr>
        <w:numId w:val="13"/>
      </w:numPr>
      <w:spacing w:before="120"/>
      <w:ind w:left="714" w:hanging="357"/>
    </w:pPr>
  </w:style>
  <w:style w:type="paragraph" w:styleId="BodyText3">
    <w:name w:val="Body Text 3"/>
    <w:basedOn w:val="Normal"/>
    <w:link w:val="BodyText3Char"/>
    <w:rsid w:val="00A4542D"/>
    <w:pPr>
      <w:spacing w:after="120"/>
    </w:pPr>
    <w:rPr>
      <w:sz w:val="16"/>
      <w:szCs w:val="16"/>
    </w:rPr>
  </w:style>
  <w:style w:type="character" w:customStyle="1" w:styleId="BodyText3Char">
    <w:name w:val="Body Text 3 Char"/>
    <w:basedOn w:val="DefaultParagraphFont"/>
    <w:link w:val="BodyText3"/>
    <w:rsid w:val="00A4542D"/>
    <w:rPr>
      <w:rFonts w:ascii="Times New Roman" w:eastAsia="Times New Roman" w:hAnsi="Times New Roman" w:cs="Times New Roman"/>
      <w:sz w:val="16"/>
      <w:szCs w:val="16"/>
    </w:rPr>
  </w:style>
  <w:style w:type="paragraph" w:customStyle="1" w:styleId="ColorfulList-Accent11">
    <w:name w:val="Colorful List - Accent 11"/>
    <w:basedOn w:val="Normal"/>
    <w:uiPriority w:val="99"/>
    <w:qFormat/>
    <w:rsid w:val="00A4542D"/>
    <w:pPr>
      <w:spacing w:after="200" w:line="276" w:lineRule="auto"/>
      <w:ind w:left="720"/>
      <w:contextualSpacing/>
    </w:pPr>
    <w:rPr>
      <w:rFonts w:ascii="Calibri" w:eastAsia="Calibri" w:hAnsi="Calibri" w:cs="Calibri"/>
      <w:sz w:val="22"/>
      <w:szCs w:val="22"/>
    </w:rPr>
  </w:style>
  <w:style w:type="character" w:customStyle="1" w:styleId="profile-meet2">
    <w:name w:val="profile-meet2"/>
    <w:basedOn w:val="DefaultParagraphFont"/>
    <w:rsid w:val="00A4542D"/>
    <w:rPr>
      <w:rFonts w:ascii="Arial" w:hAnsi="Arial" w:cs="Arial" w:hint="default"/>
      <w:b/>
      <w:bCs/>
      <w:i/>
      <w:iCs/>
      <w:color w:val="333333"/>
      <w:sz w:val="32"/>
      <w:szCs w:val="32"/>
    </w:rPr>
  </w:style>
  <w:style w:type="character" w:customStyle="1" w:styleId="profile-name2">
    <w:name w:val="profile-name2"/>
    <w:basedOn w:val="DefaultParagraphFont"/>
    <w:rsid w:val="00A4542D"/>
    <w:rPr>
      <w:color w:val="E98231"/>
      <w:sz w:val="32"/>
      <w:szCs w:val="32"/>
    </w:rPr>
  </w:style>
  <w:style w:type="paragraph" w:styleId="Subtitle">
    <w:name w:val="Subtitle"/>
    <w:basedOn w:val="Normal"/>
    <w:next w:val="Normal"/>
    <w:link w:val="SubtitleChar"/>
    <w:uiPriority w:val="11"/>
    <w:qFormat/>
    <w:rsid w:val="00A4542D"/>
    <w:pPr>
      <w:numPr>
        <w:ilvl w:val="1"/>
      </w:numPr>
      <w:spacing w:after="200" w:line="276" w:lineRule="auto"/>
      <w:jc w:val="both"/>
    </w:pPr>
    <w:rPr>
      <w:rFonts w:ascii="Cambria" w:hAnsi="Cambria"/>
      <w:i/>
      <w:iCs/>
      <w:color w:val="4F81BD"/>
      <w:spacing w:val="15"/>
    </w:rPr>
  </w:style>
  <w:style w:type="character" w:customStyle="1" w:styleId="SubtitleChar">
    <w:name w:val="Subtitle Char"/>
    <w:basedOn w:val="DefaultParagraphFont"/>
    <w:link w:val="Subtitle"/>
    <w:uiPriority w:val="11"/>
    <w:rsid w:val="00A4542D"/>
    <w:rPr>
      <w:rFonts w:ascii="Cambria" w:eastAsia="Times New Roman" w:hAnsi="Cambria" w:cs="Times New Roman"/>
      <w:i/>
      <w:iCs/>
      <w:color w:val="4F81BD"/>
      <w:spacing w:val="15"/>
      <w:sz w:val="24"/>
      <w:szCs w:val="24"/>
    </w:rPr>
  </w:style>
  <w:style w:type="paragraph" w:customStyle="1" w:styleId="Nina2">
    <w:name w:val="Nina2"/>
    <w:basedOn w:val="NormalWeb"/>
    <w:qFormat/>
    <w:rsid w:val="00A4542D"/>
    <w:pPr>
      <w:numPr>
        <w:numId w:val="20"/>
      </w:numPr>
      <w:tabs>
        <w:tab w:val="left" w:pos="0"/>
        <w:tab w:val="left" w:pos="360"/>
      </w:tabs>
      <w:spacing w:before="0" w:beforeAutospacing="0" w:after="240" w:afterAutospacing="0"/>
    </w:pPr>
    <w:rPr>
      <w:b/>
    </w:rPr>
  </w:style>
  <w:style w:type="character" w:styleId="Strong">
    <w:name w:val="Strong"/>
    <w:basedOn w:val="DefaultParagraphFont"/>
    <w:uiPriority w:val="22"/>
    <w:qFormat/>
    <w:rsid w:val="00A4542D"/>
    <w:rPr>
      <w:b/>
      <w:bCs/>
    </w:rPr>
  </w:style>
  <w:style w:type="paragraph" w:styleId="Revision">
    <w:name w:val="Revision"/>
    <w:hidden/>
    <w:uiPriority w:val="99"/>
    <w:semiHidden/>
    <w:rsid w:val="00790D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A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DCA5F-BC0A-4263-A4AC-92DFAF8330A0}" type="doc">
      <dgm:prSet loTypeId="urn:microsoft.com/office/officeart/2005/8/layout/chevron1" loCatId="process" qsTypeId="urn:microsoft.com/office/officeart/2005/8/quickstyle/simple1" qsCatId="simple" csTypeId="urn:microsoft.com/office/officeart/2005/8/colors/accent1_2" csCatId="accent1" phldr="1"/>
      <dgm:spPr/>
    </dgm:pt>
    <dgm:pt modelId="{2F3979AC-A385-4F9D-979C-30000993404D}">
      <dgm:prSet phldrT="[Text]" custT="1"/>
      <dgm:spPr/>
      <dgm:t>
        <a:bodyPr/>
        <a:lstStyle/>
        <a:p>
          <a:pPr algn="ctr"/>
          <a:r>
            <a:rPr lang="en-US" sz="850" b="1"/>
            <a:t>Preparation/screening</a:t>
          </a:r>
        </a:p>
        <a:p>
          <a:pPr algn="l"/>
          <a:r>
            <a:rPr lang="en-US" sz="800"/>
            <a:t>- Describe PPP &amp; context</a:t>
          </a:r>
        </a:p>
        <a:p>
          <a:pPr algn="l"/>
          <a:r>
            <a:rPr lang="en-US" sz="800"/>
            <a:t>- ToRs</a:t>
          </a:r>
        </a:p>
        <a:p>
          <a:pPr algn="l"/>
          <a:r>
            <a:rPr lang="en-US" sz="800"/>
            <a:t>- Hiring of consultants</a:t>
          </a:r>
        </a:p>
      </dgm:t>
    </dgm:pt>
    <dgm:pt modelId="{A602129D-CFA5-4054-A208-23D3EA63A33C}" type="parTrans" cxnId="{09CC0E54-C643-46D0-BED9-8E1A0673066A}">
      <dgm:prSet/>
      <dgm:spPr/>
      <dgm:t>
        <a:bodyPr/>
        <a:lstStyle/>
        <a:p>
          <a:endParaRPr lang="en-US"/>
        </a:p>
      </dgm:t>
    </dgm:pt>
    <dgm:pt modelId="{6055FCD8-9C71-412B-993D-6EC4CB876546}" type="sibTrans" cxnId="{09CC0E54-C643-46D0-BED9-8E1A0673066A}">
      <dgm:prSet/>
      <dgm:spPr/>
      <dgm:t>
        <a:bodyPr/>
        <a:lstStyle/>
        <a:p>
          <a:endParaRPr lang="en-US"/>
        </a:p>
      </dgm:t>
    </dgm:pt>
    <dgm:pt modelId="{44400E98-7EC3-46D4-BEAB-52308024819E}">
      <dgm:prSet phldrT="[Text]" custT="1"/>
      <dgm:spPr/>
      <dgm:t>
        <a:bodyPr/>
        <a:lstStyle/>
        <a:p>
          <a:pPr algn="ctr"/>
          <a:r>
            <a:rPr lang="en-US" sz="850" b="1"/>
            <a:t>Scoping</a:t>
          </a:r>
        </a:p>
        <a:p>
          <a:pPr algn="l"/>
          <a:r>
            <a:rPr lang="en-US" sz="800"/>
            <a:t>- Stakeholders</a:t>
          </a:r>
        </a:p>
        <a:p>
          <a:pPr algn="l"/>
          <a:r>
            <a:rPr lang="en-US" sz="800"/>
            <a:t>- Environmental risks &amp; opportunities</a:t>
          </a:r>
        </a:p>
        <a:p>
          <a:pPr algn="l"/>
          <a:r>
            <a:rPr lang="en-US" sz="800"/>
            <a:t>- Institutional analysis</a:t>
          </a:r>
        </a:p>
      </dgm:t>
    </dgm:pt>
    <dgm:pt modelId="{89D8BE96-BD7F-44C8-B328-C6D519893746}" type="parTrans" cxnId="{830DEA12-5BD1-4931-98B5-B00EC4E7E15F}">
      <dgm:prSet/>
      <dgm:spPr/>
      <dgm:t>
        <a:bodyPr/>
        <a:lstStyle/>
        <a:p>
          <a:endParaRPr lang="en-US"/>
        </a:p>
      </dgm:t>
    </dgm:pt>
    <dgm:pt modelId="{A35DFD77-DB87-4C8F-9EFB-D61B51B706DC}" type="sibTrans" cxnId="{830DEA12-5BD1-4931-98B5-B00EC4E7E15F}">
      <dgm:prSet/>
      <dgm:spPr/>
      <dgm:t>
        <a:bodyPr/>
        <a:lstStyle/>
        <a:p>
          <a:endParaRPr lang="en-US"/>
        </a:p>
      </dgm:t>
    </dgm:pt>
    <dgm:pt modelId="{7C59F347-5732-42B0-BB94-EA37C40253E7}">
      <dgm:prSet phldrT="[Text]" custT="1"/>
      <dgm:spPr/>
      <dgm:t>
        <a:bodyPr/>
        <a:lstStyle/>
        <a:p>
          <a:r>
            <a:rPr lang="en-US" sz="850" b="1"/>
            <a:t>Reporting </a:t>
          </a:r>
        </a:p>
        <a:p>
          <a:r>
            <a:rPr lang="en-US" sz="800"/>
            <a:t>(possibly including a sector manual)</a:t>
          </a:r>
        </a:p>
      </dgm:t>
    </dgm:pt>
    <dgm:pt modelId="{68D3B2D2-65AA-4347-8C18-5D08EFD46589}" type="parTrans" cxnId="{9ABC3FAF-8AA6-44C4-9D2F-0AD0443C6209}">
      <dgm:prSet/>
      <dgm:spPr/>
      <dgm:t>
        <a:bodyPr/>
        <a:lstStyle/>
        <a:p>
          <a:endParaRPr lang="en-US"/>
        </a:p>
      </dgm:t>
    </dgm:pt>
    <dgm:pt modelId="{5E1FF38F-8D89-42C9-9F0C-575A0A22B21A}" type="sibTrans" cxnId="{9ABC3FAF-8AA6-44C4-9D2F-0AD0443C6209}">
      <dgm:prSet/>
      <dgm:spPr/>
      <dgm:t>
        <a:bodyPr/>
        <a:lstStyle/>
        <a:p>
          <a:endParaRPr lang="en-US"/>
        </a:p>
      </dgm:t>
    </dgm:pt>
    <dgm:pt modelId="{A2077B24-0E24-48C8-810B-5E68F2A778C1}">
      <dgm:prSet custT="1"/>
      <dgm:spPr/>
      <dgm:t>
        <a:bodyPr/>
        <a:lstStyle/>
        <a:p>
          <a:pPr algn="ctr"/>
          <a:r>
            <a:rPr lang="en-US" sz="850" b="1"/>
            <a:t>Assessment</a:t>
          </a:r>
        </a:p>
        <a:p>
          <a:pPr algn="l"/>
          <a:r>
            <a:rPr lang="en-US" sz="800"/>
            <a:t>- Advisory notes</a:t>
          </a:r>
        </a:p>
        <a:p>
          <a:pPr algn="l"/>
          <a:r>
            <a:rPr lang="en-US" sz="800"/>
            <a:t>- Refinement of draft policies</a:t>
          </a:r>
        </a:p>
      </dgm:t>
    </dgm:pt>
    <dgm:pt modelId="{B3EAD827-56E6-4466-ACDE-23376F2B86EB}" type="parTrans" cxnId="{6289FF96-439B-4280-9907-FA05D48B2EAC}">
      <dgm:prSet/>
      <dgm:spPr/>
      <dgm:t>
        <a:bodyPr/>
        <a:lstStyle/>
        <a:p>
          <a:endParaRPr lang="en-US"/>
        </a:p>
      </dgm:t>
    </dgm:pt>
    <dgm:pt modelId="{9982135B-F54B-44FE-8AF4-63AD7C68179D}" type="sibTrans" cxnId="{6289FF96-439B-4280-9907-FA05D48B2EAC}">
      <dgm:prSet/>
      <dgm:spPr/>
      <dgm:t>
        <a:bodyPr/>
        <a:lstStyle/>
        <a:p>
          <a:endParaRPr lang="en-US"/>
        </a:p>
      </dgm:t>
    </dgm:pt>
    <dgm:pt modelId="{7F83E712-BAE8-4E5A-9D19-753712839304}">
      <dgm:prSet custT="1"/>
      <dgm:spPr/>
      <dgm:t>
        <a:bodyPr/>
        <a:lstStyle/>
        <a:p>
          <a:pPr algn="ctr"/>
          <a:r>
            <a:rPr lang="en-US" sz="850" b="1"/>
            <a:t>Monitoring &amp; Evaluation</a:t>
          </a:r>
        </a:p>
        <a:p>
          <a:pPr algn="l"/>
          <a:r>
            <a:rPr lang="en-US" sz="800"/>
            <a:t>- Development of indicators</a:t>
          </a:r>
        </a:p>
        <a:p>
          <a:pPr algn="l"/>
          <a:r>
            <a:rPr lang="en-US" sz="800"/>
            <a:t>- monitoring and  evaluation plan</a:t>
          </a:r>
        </a:p>
      </dgm:t>
    </dgm:pt>
    <dgm:pt modelId="{3155870F-F58D-4B0F-B39C-7ED9474A95E4}" type="parTrans" cxnId="{9D11FE88-6828-4937-8E14-B4CECA59877C}">
      <dgm:prSet/>
      <dgm:spPr/>
      <dgm:t>
        <a:bodyPr/>
        <a:lstStyle/>
        <a:p>
          <a:endParaRPr lang="en-US"/>
        </a:p>
      </dgm:t>
    </dgm:pt>
    <dgm:pt modelId="{A89A2C1D-062B-40E3-B3BA-1D7940D825E9}" type="sibTrans" cxnId="{9D11FE88-6828-4937-8E14-B4CECA59877C}">
      <dgm:prSet/>
      <dgm:spPr/>
      <dgm:t>
        <a:bodyPr/>
        <a:lstStyle/>
        <a:p>
          <a:endParaRPr lang="en-US"/>
        </a:p>
      </dgm:t>
    </dgm:pt>
    <dgm:pt modelId="{3FA83E19-EF81-437E-B977-5B803481BE31}" type="pres">
      <dgm:prSet presAssocID="{C1DDCA5F-BC0A-4263-A4AC-92DFAF8330A0}" presName="Name0" presStyleCnt="0">
        <dgm:presLayoutVars>
          <dgm:dir/>
          <dgm:animLvl val="lvl"/>
          <dgm:resizeHandles val="exact"/>
        </dgm:presLayoutVars>
      </dgm:prSet>
      <dgm:spPr/>
    </dgm:pt>
    <dgm:pt modelId="{89ECFE01-CADD-4B0B-A52F-7ED8CE0AE1CC}" type="pres">
      <dgm:prSet presAssocID="{2F3979AC-A385-4F9D-979C-30000993404D}" presName="parTxOnly" presStyleLbl="node1" presStyleIdx="0" presStyleCnt="5">
        <dgm:presLayoutVars>
          <dgm:chMax val="0"/>
          <dgm:chPref val="0"/>
          <dgm:bulletEnabled val="1"/>
        </dgm:presLayoutVars>
      </dgm:prSet>
      <dgm:spPr/>
      <dgm:t>
        <a:bodyPr/>
        <a:lstStyle/>
        <a:p>
          <a:endParaRPr lang="en-US"/>
        </a:p>
      </dgm:t>
    </dgm:pt>
    <dgm:pt modelId="{6126B9A9-2E59-4CE6-9282-EF90121125B1}" type="pres">
      <dgm:prSet presAssocID="{6055FCD8-9C71-412B-993D-6EC4CB876546}" presName="parTxOnlySpace" presStyleCnt="0"/>
      <dgm:spPr/>
    </dgm:pt>
    <dgm:pt modelId="{2AF43A00-157C-418B-8BAA-0D09AAA0F51E}" type="pres">
      <dgm:prSet presAssocID="{44400E98-7EC3-46D4-BEAB-52308024819E}" presName="parTxOnly" presStyleLbl="node1" presStyleIdx="1" presStyleCnt="5" custLinFactNeighborX="-30570" custLinFactNeighborY="-1">
        <dgm:presLayoutVars>
          <dgm:chMax val="0"/>
          <dgm:chPref val="0"/>
          <dgm:bulletEnabled val="1"/>
        </dgm:presLayoutVars>
      </dgm:prSet>
      <dgm:spPr/>
      <dgm:t>
        <a:bodyPr/>
        <a:lstStyle/>
        <a:p>
          <a:endParaRPr lang="en-US"/>
        </a:p>
      </dgm:t>
    </dgm:pt>
    <dgm:pt modelId="{AD232F02-3A05-4FEF-B08E-A9D1B7E1326D}" type="pres">
      <dgm:prSet presAssocID="{A35DFD77-DB87-4C8F-9EFB-D61B51B706DC}" presName="parTxOnlySpace" presStyleCnt="0"/>
      <dgm:spPr/>
    </dgm:pt>
    <dgm:pt modelId="{4AE501DD-8728-4D23-A307-626FB0C95F67}" type="pres">
      <dgm:prSet presAssocID="{A2077B24-0E24-48C8-810B-5E68F2A778C1}" presName="parTxOnly" presStyleLbl="node1" presStyleIdx="2" presStyleCnt="5" custLinFactNeighborX="-51969" custLinFactNeighborY="764">
        <dgm:presLayoutVars>
          <dgm:chMax val="0"/>
          <dgm:chPref val="0"/>
          <dgm:bulletEnabled val="1"/>
        </dgm:presLayoutVars>
      </dgm:prSet>
      <dgm:spPr/>
      <dgm:t>
        <a:bodyPr/>
        <a:lstStyle/>
        <a:p>
          <a:endParaRPr lang="en-US"/>
        </a:p>
      </dgm:t>
    </dgm:pt>
    <dgm:pt modelId="{191AB542-0BF1-4882-AE63-6142785D21F2}" type="pres">
      <dgm:prSet presAssocID="{9982135B-F54B-44FE-8AF4-63AD7C68179D}" presName="parTxOnlySpace" presStyleCnt="0"/>
      <dgm:spPr/>
    </dgm:pt>
    <dgm:pt modelId="{15E029A5-54B7-40CA-974F-D244B72B8025}" type="pres">
      <dgm:prSet presAssocID="{7F83E712-BAE8-4E5A-9D19-753712839304}" presName="parTxOnly" presStyleLbl="node1" presStyleIdx="3" presStyleCnt="5" custLinFactNeighborX="-76425" custLinFactNeighborY="764">
        <dgm:presLayoutVars>
          <dgm:chMax val="0"/>
          <dgm:chPref val="0"/>
          <dgm:bulletEnabled val="1"/>
        </dgm:presLayoutVars>
      </dgm:prSet>
      <dgm:spPr/>
      <dgm:t>
        <a:bodyPr/>
        <a:lstStyle/>
        <a:p>
          <a:endParaRPr lang="en-US"/>
        </a:p>
      </dgm:t>
    </dgm:pt>
    <dgm:pt modelId="{BAB7ACB5-9633-4EF4-B626-DC2A62E3196D}" type="pres">
      <dgm:prSet presAssocID="{A89A2C1D-062B-40E3-B3BA-1D7940D825E9}" presName="parTxOnlySpace" presStyleCnt="0"/>
      <dgm:spPr/>
    </dgm:pt>
    <dgm:pt modelId="{84034A4E-9777-49AF-8D4E-399D1A680CF5}" type="pres">
      <dgm:prSet presAssocID="{7C59F347-5732-42B0-BB94-EA37C40253E7}" presName="parTxOnly" presStyleLbl="node1" presStyleIdx="4" presStyleCnt="5" custLinFactX="-893" custLinFactNeighborX="-100000" custLinFactNeighborY="764">
        <dgm:presLayoutVars>
          <dgm:chMax val="0"/>
          <dgm:chPref val="0"/>
          <dgm:bulletEnabled val="1"/>
        </dgm:presLayoutVars>
      </dgm:prSet>
      <dgm:spPr/>
      <dgm:t>
        <a:bodyPr/>
        <a:lstStyle/>
        <a:p>
          <a:endParaRPr lang="en-US"/>
        </a:p>
      </dgm:t>
    </dgm:pt>
  </dgm:ptLst>
  <dgm:cxnLst>
    <dgm:cxn modelId="{6289FF96-439B-4280-9907-FA05D48B2EAC}" srcId="{C1DDCA5F-BC0A-4263-A4AC-92DFAF8330A0}" destId="{A2077B24-0E24-48C8-810B-5E68F2A778C1}" srcOrd="2" destOrd="0" parTransId="{B3EAD827-56E6-4466-ACDE-23376F2B86EB}" sibTransId="{9982135B-F54B-44FE-8AF4-63AD7C68179D}"/>
    <dgm:cxn modelId="{3E759273-D095-4F43-8146-A1DA9998CEC3}" type="presOf" srcId="{C1DDCA5F-BC0A-4263-A4AC-92DFAF8330A0}" destId="{3FA83E19-EF81-437E-B977-5B803481BE31}" srcOrd="0" destOrd="0" presId="urn:microsoft.com/office/officeart/2005/8/layout/chevron1"/>
    <dgm:cxn modelId="{830DEA12-5BD1-4931-98B5-B00EC4E7E15F}" srcId="{C1DDCA5F-BC0A-4263-A4AC-92DFAF8330A0}" destId="{44400E98-7EC3-46D4-BEAB-52308024819E}" srcOrd="1" destOrd="0" parTransId="{89D8BE96-BD7F-44C8-B328-C6D519893746}" sibTransId="{A35DFD77-DB87-4C8F-9EFB-D61B51B706DC}"/>
    <dgm:cxn modelId="{5EE2310A-043B-4E20-ADA9-BA24CD5AEE39}" type="presOf" srcId="{44400E98-7EC3-46D4-BEAB-52308024819E}" destId="{2AF43A00-157C-418B-8BAA-0D09AAA0F51E}" srcOrd="0" destOrd="0" presId="urn:microsoft.com/office/officeart/2005/8/layout/chevron1"/>
    <dgm:cxn modelId="{562B3731-C76B-44AD-ACA7-B912F0C29BA0}" type="presOf" srcId="{7C59F347-5732-42B0-BB94-EA37C40253E7}" destId="{84034A4E-9777-49AF-8D4E-399D1A680CF5}" srcOrd="0" destOrd="0" presId="urn:microsoft.com/office/officeart/2005/8/layout/chevron1"/>
    <dgm:cxn modelId="{09CC0E54-C643-46D0-BED9-8E1A0673066A}" srcId="{C1DDCA5F-BC0A-4263-A4AC-92DFAF8330A0}" destId="{2F3979AC-A385-4F9D-979C-30000993404D}" srcOrd="0" destOrd="0" parTransId="{A602129D-CFA5-4054-A208-23D3EA63A33C}" sibTransId="{6055FCD8-9C71-412B-993D-6EC4CB876546}"/>
    <dgm:cxn modelId="{9D11FE88-6828-4937-8E14-B4CECA59877C}" srcId="{C1DDCA5F-BC0A-4263-A4AC-92DFAF8330A0}" destId="{7F83E712-BAE8-4E5A-9D19-753712839304}" srcOrd="3" destOrd="0" parTransId="{3155870F-F58D-4B0F-B39C-7ED9474A95E4}" sibTransId="{A89A2C1D-062B-40E3-B3BA-1D7940D825E9}"/>
    <dgm:cxn modelId="{A1DE69A9-AE61-4F3A-8B9C-C06DC899FFBD}" type="presOf" srcId="{2F3979AC-A385-4F9D-979C-30000993404D}" destId="{89ECFE01-CADD-4B0B-A52F-7ED8CE0AE1CC}" srcOrd="0" destOrd="0" presId="urn:microsoft.com/office/officeart/2005/8/layout/chevron1"/>
    <dgm:cxn modelId="{1F6BD8CD-B3EC-420A-979C-9EE1735AE12B}" type="presOf" srcId="{A2077B24-0E24-48C8-810B-5E68F2A778C1}" destId="{4AE501DD-8728-4D23-A307-626FB0C95F67}" srcOrd="0" destOrd="0" presId="urn:microsoft.com/office/officeart/2005/8/layout/chevron1"/>
    <dgm:cxn modelId="{CA7C045D-77E2-4CAF-85B6-88B68111E6DA}" type="presOf" srcId="{7F83E712-BAE8-4E5A-9D19-753712839304}" destId="{15E029A5-54B7-40CA-974F-D244B72B8025}" srcOrd="0" destOrd="0" presId="urn:microsoft.com/office/officeart/2005/8/layout/chevron1"/>
    <dgm:cxn modelId="{9ABC3FAF-8AA6-44C4-9D2F-0AD0443C6209}" srcId="{C1DDCA5F-BC0A-4263-A4AC-92DFAF8330A0}" destId="{7C59F347-5732-42B0-BB94-EA37C40253E7}" srcOrd="4" destOrd="0" parTransId="{68D3B2D2-65AA-4347-8C18-5D08EFD46589}" sibTransId="{5E1FF38F-8D89-42C9-9F0C-575A0A22B21A}"/>
    <dgm:cxn modelId="{AAC818A7-4180-49CD-B6DB-CC92F21A7132}" type="presParOf" srcId="{3FA83E19-EF81-437E-B977-5B803481BE31}" destId="{89ECFE01-CADD-4B0B-A52F-7ED8CE0AE1CC}" srcOrd="0" destOrd="0" presId="urn:microsoft.com/office/officeart/2005/8/layout/chevron1"/>
    <dgm:cxn modelId="{01D40163-644C-404C-A018-DE0A91EBEFE9}" type="presParOf" srcId="{3FA83E19-EF81-437E-B977-5B803481BE31}" destId="{6126B9A9-2E59-4CE6-9282-EF90121125B1}" srcOrd="1" destOrd="0" presId="urn:microsoft.com/office/officeart/2005/8/layout/chevron1"/>
    <dgm:cxn modelId="{DA0F0358-C192-45D7-AB82-47BA50DB469A}" type="presParOf" srcId="{3FA83E19-EF81-437E-B977-5B803481BE31}" destId="{2AF43A00-157C-418B-8BAA-0D09AAA0F51E}" srcOrd="2" destOrd="0" presId="urn:microsoft.com/office/officeart/2005/8/layout/chevron1"/>
    <dgm:cxn modelId="{85EB0D05-8A3B-49BD-9444-7250FE1C21B8}" type="presParOf" srcId="{3FA83E19-EF81-437E-B977-5B803481BE31}" destId="{AD232F02-3A05-4FEF-B08E-A9D1B7E1326D}" srcOrd="3" destOrd="0" presId="urn:microsoft.com/office/officeart/2005/8/layout/chevron1"/>
    <dgm:cxn modelId="{9AC0FC45-7FA9-4C18-9D28-A3FF678090A9}" type="presParOf" srcId="{3FA83E19-EF81-437E-B977-5B803481BE31}" destId="{4AE501DD-8728-4D23-A307-626FB0C95F67}" srcOrd="4" destOrd="0" presId="urn:microsoft.com/office/officeart/2005/8/layout/chevron1"/>
    <dgm:cxn modelId="{8968C11E-2883-4FD8-9F3A-799A40AB923B}" type="presParOf" srcId="{3FA83E19-EF81-437E-B977-5B803481BE31}" destId="{191AB542-0BF1-4882-AE63-6142785D21F2}" srcOrd="5" destOrd="0" presId="urn:microsoft.com/office/officeart/2005/8/layout/chevron1"/>
    <dgm:cxn modelId="{D02C85AF-88CB-4415-98C1-83C760914AF6}" type="presParOf" srcId="{3FA83E19-EF81-437E-B977-5B803481BE31}" destId="{15E029A5-54B7-40CA-974F-D244B72B8025}" srcOrd="6" destOrd="0" presId="urn:microsoft.com/office/officeart/2005/8/layout/chevron1"/>
    <dgm:cxn modelId="{84899B1B-BBD2-4908-B988-8FF05856125E}" type="presParOf" srcId="{3FA83E19-EF81-437E-B977-5B803481BE31}" destId="{BAB7ACB5-9633-4EF4-B626-DC2A62E3196D}" srcOrd="7" destOrd="0" presId="urn:microsoft.com/office/officeart/2005/8/layout/chevron1"/>
    <dgm:cxn modelId="{8C53AF32-F93E-480B-B57D-8A8B4CEC6534}" type="presParOf" srcId="{3FA83E19-EF81-437E-B977-5B803481BE31}" destId="{84034A4E-9777-49AF-8D4E-399D1A680CF5}"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ECFE01-CADD-4B0B-A52F-7ED8CE0AE1CC}">
      <dsp:nvSpPr>
        <dsp:cNvPr id="0" name=""/>
        <dsp:cNvSpPr/>
      </dsp:nvSpPr>
      <dsp:spPr>
        <a:xfrm>
          <a:off x="2182" y="135848"/>
          <a:ext cx="1942317" cy="77692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377825">
            <a:lnSpc>
              <a:spcPct val="90000"/>
            </a:lnSpc>
            <a:spcBef>
              <a:spcPct val="0"/>
            </a:spcBef>
            <a:spcAft>
              <a:spcPct val="35000"/>
            </a:spcAft>
          </a:pPr>
          <a:r>
            <a:rPr lang="en-US" sz="850" b="1" kern="1200"/>
            <a:t>Preparation/screening</a:t>
          </a:r>
        </a:p>
        <a:p>
          <a:pPr lvl="0" algn="l" defTabSz="377825">
            <a:lnSpc>
              <a:spcPct val="90000"/>
            </a:lnSpc>
            <a:spcBef>
              <a:spcPct val="0"/>
            </a:spcBef>
            <a:spcAft>
              <a:spcPct val="35000"/>
            </a:spcAft>
          </a:pPr>
          <a:r>
            <a:rPr lang="en-US" sz="800" kern="1200"/>
            <a:t>- Describe PPP &amp; context</a:t>
          </a:r>
        </a:p>
        <a:p>
          <a:pPr lvl="0" algn="l" defTabSz="377825">
            <a:lnSpc>
              <a:spcPct val="90000"/>
            </a:lnSpc>
            <a:spcBef>
              <a:spcPct val="0"/>
            </a:spcBef>
            <a:spcAft>
              <a:spcPct val="35000"/>
            </a:spcAft>
          </a:pPr>
          <a:r>
            <a:rPr lang="en-US" sz="800" kern="1200"/>
            <a:t>- ToRs</a:t>
          </a:r>
        </a:p>
        <a:p>
          <a:pPr lvl="0" algn="l" defTabSz="377825">
            <a:lnSpc>
              <a:spcPct val="90000"/>
            </a:lnSpc>
            <a:spcBef>
              <a:spcPct val="0"/>
            </a:spcBef>
            <a:spcAft>
              <a:spcPct val="35000"/>
            </a:spcAft>
          </a:pPr>
          <a:r>
            <a:rPr lang="en-US" sz="800" kern="1200"/>
            <a:t>- Hiring of consultants</a:t>
          </a:r>
        </a:p>
      </dsp:txBody>
      <dsp:txXfrm>
        <a:off x="390645" y="135848"/>
        <a:ext cx="1165391" cy="776926"/>
      </dsp:txXfrm>
    </dsp:sp>
    <dsp:sp modelId="{2AF43A00-157C-418B-8BAA-0D09AAA0F51E}">
      <dsp:nvSpPr>
        <dsp:cNvPr id="0" name=""/>
        <dsp:cNvSpPr/>
      </dsp:nvSpPr>
      <dsp:spPr>
        <a:xfrm>
          <a:off x="1690891" y="135840"/>
          <a:ext cx="1942317" cy="77692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377825">
            <a:lnSpc>
              <a:spcPct val="90000"/>
            </a:lnSpc>
            <a:spcBef>
              <a:spcPct val="0"/>
            </a:spcBef>
            <a:spcAft>
              <a:spcPct val="35000"/>
            </a:spcAft>
          </a:pPr>
          <a:r>
            <a:rPr lang="en-US" sz="850" b="1" kern="1200"/>
            <a:t>Scoping</a:t>
          </a:r>
        </a:p>
        <a:p>
          <a:pPr lvl="0" algn="l" defTabSz="377825">
            <a:lnSpc>
              <a:spcPct val="90000"/>
            </a:lnSpc>
            <a:spcBef>
              <a:spcPct val="0"/>
            </a:spcBef>
            <a:spcAft>
              <a:spcPct val="35000"/>
            </a:spcAft>
          </a:pPr>
          <a:r>
            <a:rPr lang="en-US" sz="800" kern="1200"/>
            <a:t>- Stakeholders</a:t>
          </a:r>
        </a:p>
        <a:p>
          <a:pPr lvl="0" algn="l" defTabSz="377825">
            <a:lnSpc>
              <a:spcPct val="90000"/>
            </a:lnSpc>
            <a:spcBef>
              <a:spcPct val="0"/>
            </a:spcBef>
            <a:spcAft>
              <a:spcPct val="35000"/>
            </a:spcAft>
          </a:pPr>
          <a:r>
            <a:rPr lang="en-US" sz="800" kern="1200"/>
            <a:t>- Environmental risks &amp; opportunities</a:t>
          </a:r>
        </a:p>
        <a:p>
          <a:pPr lvl="0" algn="l" defTabSz="377825">
            <a:lnSpc>
              <a:spcPct val="90000"/>
            </a:lnSpc>
            <a:spcBef>
              <a:spcPct val="0"/>
            </a:spcBef>
            <a:spcAft>
              <a:spcPct val="35000"/>
            </a:spcAft>
          </a:pPr>
          <a:r>
            <a:rPr lang="en-US" sz="800" kern="1200"/>
            <a:t>- Institutional analysis</a:t>
          </a:r>
        </a:p>
      </dsp:txBody>
      <dsp:txXfrm>
        <a:off x="2079354" y="135840"/>
        <a:ext cx="1165391" cy="776926"/>
      </dsp:txXfrm>
    </dsp:sp>
    <dsp:sp modelId="{4AE501DD-8728-4D23-A307-626FB0C95F67}">
      <dsp:nvSpPr>
        <dsp:cNvPr id="0" name=""/>
        <dsp:cNvSpPr/>
      </dsp:nvSpPr>
      <dsp:spPr>
        <a:xfrm>
          <a:off x="3397413" y="141784"/>
          <a:ext cx="1942317" cy="77692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377825">
            <a:lnSpc>
              <a:spcPct val="90000"/>
            </a:lnSpc>
            <a:spcBef>
              <a:spcPct val="0"/>
            </a:spcBef>
            <a:spcAft>
              <a:spcPct val="35000"/>
            </a:spcAft>
          </a:pPr>
          <a:r>
            <a:rPr lang="en-US" sz="850" b="1" kern="1200"/>
            <a:t>Assessment</a:t>
          </a:r>
        </a:p>
        <a:p>
          <a:pPr lvl="0" algn="l" defTabSz="377825">
            <a:lnSpc>
              <a:spcPct val="90000"/>
            </a:lnSpc>
            <a:spcBef>
              <a:spcPct val="0"/>
            </a:spcBef>
            <a:spcAft>
              <a:spcPct val="35000"/>
            </a:spcAft>
          </a:pPr>
          <a:r>
            <a:rPr lang="en-US" sz="800" kern="1200"/>
            <a:t>- Advisory notes</a:t>
          </a:r>
        </a:p>
        <a:p>
          <a:pPr lvl="0" algn="l" defTabSz="377825">
            <a:lnSpc>
              <a:spcPct val="90000"/>
            </a:lnSpc>
            <a:spcBef>
              <a:spcPct val="0"/>
            </a:spcBef>
            <a:spcAft>
              <a:spcPct val="35000"/>
            </a:spcAft>
          </a:pPr>
          <a:r>
            <a:rPr lang="en-US" sz="800" kern="1200"/>
            <a:t>- Refinement of draft policies</a:t>
          </a:r>
        </a:p>
      </dsp:txBody>
      <dsp:txXfrm>
        <a:off x="3785876" y="141784"/>
        <a:ext cx="1165391" cy="776926"/>
      </dsp:txXfrm>
    </dsp:sp>
    <dsp:sp modelId="{15E029A5-54B7-40CA-974F-D244B72B8025}">
      <dsp:nvSpPr>
        <dsp:cNvPr id="0" name=""/>
        <dsp:cNvSpPr/>
      </dsp:nvSpPr>
      <dsp:spPr>
        <a:xfrm>
          <a:off x="5097997" y="141784"/>
          <a:ext cx="1942317" cy="77692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377825">
            <a:lnSpc>
              <a:spcPct val="90000"/>
            </a:lnSpc>
            <a:spcBef>
              <a:spcPct val="0"/>
            </a:spcBef>
            <a:spcAft>
              <a:spcPct val="35000"/>
            </a:spcAft>
          </a:pPr>
          <a:r>
            <a:rPr lang="en-US" sz="850" b="1" kern="1200"/>
            <a:t>Monitoring &amp; Evaluation</a:t>
          </a:r>
        </a:p>
        <a:p>
          <a:pPr lvl="0" algn="l" defTabSz="377825">
            <a:lnSpc>
              <a:spcPct val="90000"/>
            </a:lnSpc>
            <a:spcBef>
              <a:spcPct val="0"/>
            </a:spcBef>
            <a:spcAft>
              <a:spcPct val="35000"/>
            </a:spcAft>
          </a:pPr>
          <a:r>
            <a:rPr lang="en-US" sz="800" kern="1200"/>
            <a:t>- Development of indicators</a:t>
          </a:r>
        </a:p>
        <a:p>
          <a:pPr lvl="0" algn="l" defTabSz="377825">
            <a:lnSpc>
              <a:spcPct val="90000"/>
            </a:lnSpc>
            <a:spcBef>
              <a:spcPct val="0"/>
            </a:spcBef>
            <a:spcAft>
              <a:spcPct val="35000"/>
            </a:spcAft>
          </a:pPr>
          <a:r>
            <a:rPr lang="en-US" sz="800" kern="1200"/>
            <a:t>- monitoring and  evaluation plan</a:t>
          </a:r>
        </a:p>
      </dsp:txBody>
      <dsp:txXfrm>
        <a:off x="5486460" y="141784"/>
        <a:ext cx="1165391" cy="776926"/>
      </dsp:txXfrm>
    </dsp:sp>
    <dsp:sp modelId="{84034A4E-9777-49AF-8D4E-399D1A680CF5}">
      <dsp:nvSpPr>
        <dsp:cNvPr id="0" name=""/>
        <dsp:cNvSpPr/>
      </dsp:nvSpPr>
      <dsp:spPr>
        <a:xfrm>
          <a:off x="6782947" y="141784"/>
          <a:ext cx="1942317" cy="77692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377825">
            <a:lnSpc>
              <a:spcPct val="90000"/>
            </a:lnSpc>
            <a:spcBef>
              <a:spcPct val="0"/>
            </a:spcBef>
            <a:spcAft>
              <a:spcPct val="35000"/>
            </a:spcAft>
          </a:pPr>
          <a:r>
            <a:rPr lang="en-US" sz="850" b="1" kern="1200"/>
            <a:t>Reporting </a:t>
          </a:r>
        </a:p>
        <a:p>
          <a:pPr lvl="0" algn="ctr" defTabSz="377825">
            <a:lnSpc>
              <a:spcPct val="90000"/>
            </a:lnSpc>
            <a:spcBef>
              <a:spcPct val="0"/>
            </a:spcBef>
            <a:spcAft>
              <a:spcPct val="35000"/>
            </a:spcAft>
          </a:pPr>
          <a:r>
            <a:rPr lang="en-US" sz="800" kern="1200"/>
            <a:t>(possibly including a sector manual)</a:t>
          </a:r>
        </a:p>
      </dsp:txBody>
      <dsp:txXfrm>
        <a:off x="7171410" y="141784"/>
        <a:ext cx="1165391" cy="7769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2AF9-6078-4ED8-8206-86510E63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wb284455</dc:creator>
  <cp:lastModifiedBy>Jennifer Laughlin</cp:lastModifiedBy>
  <cp:revision>2</cp:revision>
  <dcterms:created xsi:type="dcterms:W3CDTF">2012-12-05T19:43:00Z</dcterms:created>
  <dcterms:modified xsi:type="dcterms:W3CDTF">2012-12-05T19:43:00Z</dcterms:modified>
</cp:coreProperties>
</file>