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2010E" w:rsidRPr="00F13D55" w:rsidRDefault="0098675D" w:rsidP="0092010E">
      <w:pPr>
        <w:rPr>
          <w:b/>
          <w:color w:val="000000" w:themeColor="text1"/>
          <w:sz w:val="32"/>
          <w:szCs w:val="32"/>
        </w:rPr>
      </w:pPr>
      <w:r>
        <w:rPr>
          <w:b/>
          <w:i/>
          <w:noProof/>
          <w:color w:val="000000" w:themeColor="text1"/>
          <w:sz w:val="28"/>
          <w:szCs w:val="28"/>
        </w:rPr>
        <mc:AlternateContent>
          <mc:Choice Requires="wps">
            <w:drawing>
              <wp:anchor distT="0" distB="0" distL="114300" distR="114300" simplePos="0" relativeHeight="251660288" behindDoc="0" locked="0" layoutInCell="1" allowOverlap="1" wp14:anchorId="44F8EF1D" wp14:editId="1CFA1410">
                <wp:simplePos x="0" y="0"/>
                <wp:positionH relativeFrom="column">
                  <wp:posOffset>1800225</wp:posOffset>
                </wp:positionH>
                <wp:positionV relativeFrom="paragraph">
                  <wp:posOffset>337185</wp:posOffset>
                </wp:positionV>
                <wp:extent cx="4210050" cy="10191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019175"/>
                        </a:xfrm>
                        <a:prstGeom prst="rect">
                          <a:avLst/>
                        </a:prstGeom>
                        <a:solidFill>
                          <a:srgbClr val="FFFFFF"/>
                        </a:solidFill>
                        <a:ln w="9525">
                          <a:noFill/>
                          <a:miter lim="800000"/>
                          <a:headEnd/>
                          <a:tailEnd/>
                        </a:ln>
                      </wps:spPr>
                      <wps:txbx>
                        <w:txbxContent>
                          <w:p w:rsidR="0092010E" w:rsidRPr="0092010E" w:rsidRDefault="00EB7A93" w:rsidP="0092010E">
                            <w:r w:rsidRPr="00EB7A93">
                              <w:rPr>
                                <w:b/>
                                <w:sz w:val="32"/>
                              </w:rPr>
                              <w:t>Boosting support to countries on safeguards and Safeguard Information Systems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1.75pt;margin-top:26.55pt;width:331.5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" stroked="f">
                <v:textbox>
                  <w:txbxContent>
                    <w:p w:rsidR="0092010E" w:rsidRPr="0092010E" w:rsidRDefault="00EB7A93" w:rsidP="0092010E">
                      <w:r w:rsidRPr="00EB7A93">
                        <w:rPr>
                          <w:b/>
                          <w:sz w:val="32"/>
                        </w:rPr>
                        <w:t>Boosting support to countries on safeguards and Safeguard Information Systems</w:t>
                      </w:r>
                    </w:p>
                  </w:txbxContent>
                </v:textbox>
              </v:shape>
            </w:pict>
          </mc:Fallback>
        </mc:AlternateContent>
      </w:r>
      <w:r w:rsidRPr="00F13D55">
        <w:rPr>
          <w:noProof/>
        </w:rPr>
        <w:drawing>
          <wp:anchor distT="0" distB="0" distL="114300" distR="114300" simplePos="0" relativeHeight="251659264" behindDoc="1" locked="0" layoutInCell="1" allowOverlap="1" wp14:anchorId="07C232E5" wp14:editId="40271DBC">
            <wp:simplePos x="0" y="0"/>
            <wp:positionH relativeFrom="column">
              <wp:posOffset>-123825</wp:posOffset>
            </wp:positionH>
            <wp:positionV relativeFrom="paragraph">
              <wp:posOffset>142875</wp:posOffset>
            </wp:positionV>
            <wp:extent cx="1657350" cy="1247140"/>
            <wp:effectExtent l="0" t="0" r="0" b="0"/>
            <wp:wrapNone/>
            <wp:docPr id="1" name="Picture 1" descr="UN-REDD_full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_full_logo_EN"/>
                    <pic:cNvPicPr>
                      <a:picLocks noChangeAspect="1" noChangeArrowheads="1"/>
                    </pic:cNvPicPr>
                  </pic:nvPicPr>
                  <pic:blipFill>
                    <a:blip r:embed="rId9" cstate="print"/>
                    <a:srcRect/>
                    <a:stretch>
                      <a:fillRect/>
                    </a:stretch>
                  </pic:blipFill>
                  <pic:spPr bwMode="auto">
                    <a:xfrm>
                      <a:off x="0" y="0"/>
                      <a:ext cx="1657350" cy="12471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2010E">
        <w:rPr>
          <w:b/>
          <w:noProof/>
          <w:color w:val="000000" w:themeColor="text1"/>
          <w:sz w:val="32"/>
          <w:szCs w:val="32"/>
        </w:rPr>
        <mc:AlternateContent>
          <mc:Choice Requires="wps">
            <w:drawing>
              <wp:anchor distT="0" distB="0" distL="114300" distR="114300" simplePos="0" relativeHeight="251661312" behindDoc="0" locked="0" layoutInCell="1" allowOverlap="1" wp14:anchorId="37AC8505" wp14:editId="7077F4D8">
                <wp:simplePos x="0" y="0"/>
                <wp:positionH relativeFrom="column">
                  <wp:posOffset>3638550</wp:posOffset>
                </wp:positionH>
                <wp:positionV relativeFrom="paragraph">
                  <wp:posOffset>-409575</wp:posOffset>
                </wp:positionV>
                <wp:extent cx="2371725" cy="409575"/>
                <wp:effectExtent l="0" t="0" r="381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09575"/>
                        </a:xfrm>
                        <a:prstGeom prst="rect">
                          <a:avLst/>
                        </a:prstGeom>
                        <a:solidFill>
                          <a:srgbClr val="FFFFFF"/>
                        </a:solidFill>
                        <a:ln w="9525">
                          <a:noFill/>
                          <a:miter lim="800000"/>
                          <a:headEnd/>
                          <a:tailEnd/>
                        </a:ln>
                      </wps:spPr>
                      <wps:txbx>
                        <w:txbxContent>
                          <w:p w:rsidR="0092010E" w:rsidRPr="00460EFD" w:rsidRDefault="0092010E" w:rsidP="0092010E">
                            <w:pPr>
                              <w:spacing w:after="0"/>
                              <w:jc w:val="right"/>
                              <w:rPr>
                                <w:b/>
                                <w:color w:val="000000" w:themeColor="text1"/>
                                <w:sz w:val="32"/>
                                <w:szCs w:val="32"/>
                              </w:rPr>
                            </w:pPr>
                            <w:r>
                              <w:rPr>
                                <w:b/>
                                <w:color w:val="000000" w:themeColor="text1"/>
                                <w:sz w:val="32"/>
                                <w:szCs w:val="32"/>
                              </w:rPr>
                              <w:t>CONCEPT NOTE</w:t>
                            </w:r>
                          </w:p>
                          <w:p w:rsidR="0092010E" w:rsidRDefault="0092010E" w:rsidP="0092010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286.5pt;margin-top:-32.25pt;width:186.75pt;height:32.2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" stroked="f">
                <v:textbox>
                  <w:txbxContent>
                    <w:p w:rsidR="0092010E" w:rsidRPr="00460EFD" w:rsidRDefault="0092010E" w:rsidP="0092010E">
                      <w:pPr>
                        <w:spacing w:after="0"/>
                        <w:jc w:val="right"/>
                        <w:rPr>
                          <w:b/>
                          <w:color w:val="000000" w:themeColor="text1"/>
                          <w:sz w:val="32"/>
                          <w:szCs w:val="32"/>
                        </w:rPr>
                      </w:pPr>
                      <w:r>
                        <w:rPr>
                          <w:b/>
                          <w:color w:val="000000" w:themeColor="text1"/>
                          <w:sz w:val="32"/>
                          <w:szCs w:val="32"/>
                        </w:rPr>
                        <w:t>CONCEPT NOTE</w:t>
                      </w:r>
                    </w:p>
                    <w:p w:rsidR="0092010E" w:rsidRDefault="0092010E" w:rsidP="0092010E"/>
                  </w:txbxContent>
                </v:textbox>
              </v:shape>
            </w:pict>
          </mc:Fallback>
        </mc:AlternateContent>
      </w:r>
    </w:p>
    <w:p w:rsidR="0092010E" w:rsidRPr="00F13D55" w:rsidRDefault="0092010E" w:rsidP="0092010E">
      <w:pPr>
        <w:spacing w:after="0"/>
        <w:ind w:left="2880" w:hanging="2880"/>
        <w:jc w:val="center"/>
        <w:rPr>
          <w:b/>
          <w:i/>
          <w:color w:val="000000" w:themeColor="text1"/>
          <w:sz w:val="28"/>
          <w:szCs w:val="28"/>
        </w:rPr>
      </w:pPr>
    </w:p>
    <w:p w:rsidR="0092010E" w:rsidRPr="00F13D55" w:rsidRDefault="0092010E" w:rsidP="0092010E">
      <w:pPr>
        <w:rPr>
          <w:b/>
          <w:sz w:val="28"/>
          <w:szCs w:val="28"/>
        </w:rPr>
      </w:pPr>
      <w:r w:rsidRPr="00F13D55">
        <w:rPr>
          <w:b/>
          <w:i/>
          <w:color w:val="000000" w:themeColor="text1"/>
          <w:sz w:val="28"/>
          <w:szCs w:val="28"/>
        </w:rPr>
        <w:t xml:space="preserve">   </w:t>
      </w:r>
      <w:r w:rsidRPr="00F13D55">
        <w:rPr>
          <w:b/>
          <w:i/>
          <w:color w:val="000000" w:themeColor="text1"/>
          <w:sz w:val="28"/>
          <w:szCs w:val="28"/>
        </w:rPr>
        <w:tab/>
      </w:r>
    </w:p>
    <w:p w:rsidR="007E2BF7" w:rsidRDefault="007E2BF7"/>
    <w:tbl>
      <w:tblPr>
        <w:tblStyle w:val="MediumGrid3-Accent1"/>
        <w:tblW w:w="0" w:type="auto"/>
        <w:tblLook w:val="04A0" w:firstRow="1" w:lastRow="0" w:firstColumn="1" w:lastColumn="0" w:noHBand="0" w:noVBand="1"/>
      </w:tblPr>
      <w:tblGrid>
        <w:gridCol w:w="4788"/>
        <w:gridCol w:w="4788"/>
      </w:tblGrid>
      <w:tr w:rsidR="0092010E" w:rsidTr="00316A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92010E" w:rsidRPr="006F294D" w:rsidRDefault="0092010E">
            <w:pPr>
              <w:rPr>
                <w:sz w:val="24"/>
                <w:szCs w:val="24"/>
              </w:rPr>
            </w:pPr>
            <w:r w:rsidRPr="006F294D">
              <w:rPr>
                <w:sz w:val="24"/>
                <w:szCs w:val="24"/>
              </w:rPr>
              <w:t>I. Summary</w:t>
            </w:r>
          </w:p>
        </w:tc>
      </w:tr>
      <w:tr w:rsidR="0092010E" w:rsidTr="00920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92010E" w:rsidRPr="006F294D" w:rsidRDefault="0092010E" w:rsidP="0098675D">
            <w:pPr>
              <w:spacing w:before="240"/>
              <w:rPr>
                <w:sz w:val="24"/>
                <w:szCs w:val="24"/>
              </w:rPr>
            </w:pPr>
            <w:r w:rsidRPr="006F294D">
              <w:rPr>
                <w:sz w:val="24"/>
                <w:szCs w:val="24"/>
              </w:rPr>
              <w:t>Objective</w:t>
            </w:r>
          </w:p>
        </w:tc>
        <w:tc>
          <w:tcPr>
            <w:tcW w:w="4788" w:type="dxa"/>
            <w:shd w:val="clear" w:color="auto" w:fill="DBE5F1" w:themeFill="accent1" w:themeFillTint="33"/>
          </w:tcPr>
          <w:p w:rsidR="0098675D" w:rsidRDefault="00EB7A93" w:rsidP="001A291E">
            <w:pPr>
              <w:spacing w:before="240" w:line="276" w:lineRule="auto"/>
              <w:cnfStyle w:val="000000100000" w:firstRow="0" w:lastRow="0" w:firstColumn="0" w:lastColumn="0" w:oddVBand="0" w:evenVBand="0" w:oddHBand="1" w:evenHBand="0" w:firstRowFirstColumn="0" w:firstRowLastColumn="0" w:lastRowFirstColumn="0" w:lastRowLastColumn="0"/>
            </w:pPr>
            <w:r w:rsidRPr="00EB7A93">
              <w:t xml:space="preserve">To respond to increased demand for support for country approaches to safeguards, including the promotion and support of REDD+ safeguards and the development of safeguard information systems </w:t>
            </w:r>
          </w:p>
        </w:tc>
      </w:tr>
      <w:tr w:rsidR="0092010E" w:rsidTr="0092010E">
        <w:tc>
          <w:tcPr>
            <w:cnfStyle w:val="001000000000" w:firstRow="0" w:lastRow="0" w:firstColumn="1" w:lastColumn="0" w:oddVBand="0" w:evenVBand="0" w:oddHBand="0" w:evenHBand="0" w:firstRowFirstColumn="0" w:firstRowLastColumn="0" w:lastRowFirstColumn="0" w:lastRowLastColumn="0"/>
            <w:tcW w:w="4788" w:type="dxa"/>
          </w:tcPr>
          <w:p w:rsidR="0092010E" w:rsidRPr="006F294D" w:rsidRDefault="0092010E" w:rsidP="0098675D">
            <w:pPr>
              <w:spacing w:before="240"/>
              <w:rPr>
                <w:sz w:val="24"/>
                <w:szCs w:val="24"/>
              </w:rPr>
            </w:pPr>
            <w:r w:rsidRPr="006F294D">
              <w:rPr>
                <w:sz w:val="24"/>
                <w:szCs w:val="24"/>
              </w:rPr>
              <w:t>Expected results</w:t>
            </w:r>
          </w:p>
        </w:tc>
        <w:tc>
          <w:tcPr>
            <w:tcW w:w="4788" w:type="dxa"/>
            <w:shd w:val="clear" w:color="auto" w:fill="DBE5F1" w:themeFill="accent1" w:themeFillTint="33"/>
          </w:tcPr>
          <w:p w:rsidR="00EB7A93" w:rsidRDefault="00EB7A93" w:rsidP="00EB7A93">
            <w:pPr>
              <w:spacing w:before="240"/>
              <w:cnfStyle w:val="000000000000" w:firstRow="0" w:lastRow="0" w:firstColumn="0" w:lastColumn="0" w:oddVBand="0" w:evenVBand="0" w:oddHBand="0" w:evenHBand="0" w:firstRowFirstColumn="0" w:firstRowLastColumn="0" w:lastRowFirstColumn="0" w:lastRowLastColumn="0"/>
            </w:pPr>
            <w:r>
              <w:t xml:space="preserve">1. Supported countries advance understanding of expectations on safeguards under the UNFCCC, and the UN-REDD  Framework for supporting the development of country approaches to safeguards </w:t>
            </w:r>
          </w:p>
          <w:p w:rsidR="00EB7A93" w:rsidRDefault="00EB7A93" w:rsidP="00EB7A93">
            <w:pPr>
              <w:spacing w:before="240"/>
              <w:cnfStyle w:val="000000000000" w:firstRow="0" w:lastRow="0" w:firstColumn="0" w:lastColumn="0" w:oddVBand="0" w:evenVBand="0" w:oddHBand="0" w:evenHBand="0" w:firstRowFirstColumn="0" w:firstRowLastColumn="0" w:lastRowFirstColumn="0" w:lastRowLastColumn="0"/>
            </w:pPr>
            <w:r>
              <w:t xml:space="preserve">2 - Supported countries advance measures to promote and support safeguards </w:t>
            </w:r>
          </w:p>
          <w:p w:rsidR="00EB7A93" w:rsidRDefault="00EB7A93" w:rsidP="00EB7A93">
            <w:pPr>
              <w:spacing w:before="240"/>
              <w:cnfStyle w:val="000000000000" w:firstRow="0" w:lastRow="0" w:firstColumn="0" w:lastColumn="0" w:oddVBand="0" w:evenVBand="0" w:oddHBand="0" w:evenHBand="0" w:firstRowFirstColumn="0" w:firstRowLastColumn="0" w:lastRowFirstColumn="0" w:lastRowLastColumn="0"/>
            </w:pPr>
            <w:r>
              <w:t>3 –Supported countries advance the design and implementation of the safeguard information system on how safeguards are addressed and respected, as guided by the UN-REDD Programme approach</w:t>
            </w:r>
          </w:p>
          <w:p w:rsidR="0092010E" w:rsidRDefault="00EB7A93" w:rsidP="00EB7A93">
            <w:pPr>
              <w:spacing w:before="240"/>
              <w:cnfStyle w:val="000000000000" w:firstRow="0" w:lastRow="0" w:firstColumn="0" w:lastColumn="0" w:oddVBand="0" w:evenVBand="0" w:oddHBand="0" w:evenHBand="0" w:firstRowFirstColumn="0" w:firstRowLastColumn="0" w:lastRowFirstColumn="0" w:lastRowLastColumn="0"/>
            </w:pPr>
            <w:r>
              <w:t>4 – Strengthened UN-REDD Programme capacity to support countries in these areas and coordinate with other relevant initiative</w:t>
            </w:r>
          </w:p>
        </w:tc>
      </w:tr>
      <w:tr w:rsidR="0092010E" w:rsidTr="00920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92010E" w:rsidRPr="006F294D" w:rsidRDefault="0092010E" w:rsidP="0098675D">
            <w:pPr>
              <w:spacing w:before="240"/>
              <w:rPr>
                <w:sz w:val="24"/>
                <w:szCs w:val="24"/>
              </w:rPr>
            </w:pPr>
            <w:r w:rsidRPr="006F294D">
              <w:rPr>
                <w:sz w:val="24"/>
                <w:szCs w:val="24"/>
              </w:rPr>
              <w:t>Level of intervention</w:t>
            </w:r>
          </w:p>
        </w:tc>
        <w:tc>
          <w:tcPr>
            <w:tcW w:w="4788" w:type="dxa"/>
            <w:shd w:val="clear" w:color="auto" w:fill="DBE5F1" w:themeFill="accent1" w:themeFillTint="33"/>
          </w:tcPr>
          <w:p w:rsidR="00EB7A93" w:rsidRDefault="00EB7A93" w:rsidP="00EB7A93">
            <w:pPr>
              <w:spacing w:before="240"/>
              <w:cnfStyle w:val="000000100000" w:firstRow="0" w:lastRow="0" w:firstColumn="0" w:lastColumn="0" w:oddVBand="0" w:evenVBand="0" w:oddHBand="1" w:evenHBand="0" w:firstRowFirstColumn="0" w:firstRowLastColumn="0" w:lastRowFirstColumn="0" w:lastRowLastColumn="0"/>
            </w:pPr>
            <w:r>
              <w:t>Global, regional and national levels</w:t>
            </w:r>
          </w:p>
          <w:p w:rsidR="0098675D" w:rsidRDefault="00EB7A93" w:rsidP="00EB7A93">
            <w:pPr>
              <w:spacing w:before="240"/>
              <w:cnfStyle w:val="000000100000" w:firstRow="0" w:lastRow="0" w:firstColumn="0" w:lastColumn="0" w:oddVBand="0" w:evenVBand="0" w:oddHBand="1" w:evenHBand="0" w:firstRowFirstColumn="0" w:firstRowLastColumn="0" w:lastRowFirstColumn="0" w:lastRowLastColumn="0"/>
            </w:pPr>
            <w:r>
              <w:t>Specific countries to be decided, depending on country needs</w:t>
            </w:r>
          </w:p>
        </w:tc>
      </w:tr>
      <w:tr w:rsidR="0092010E" w:rsidTr="0092010E">
        <w:tc>
          <w:tcPr>
            <w:cnfStyle w:val="001000000000" w:firstRow="0" w:lastRow="0" w:firstColumn="1" w:lastColumn="0" w:oddVBand="0" w:evenVBand="0" w:oddHBand="0" w:evenHBand="0" w:firstRowFirstColumn="0" w:firstRowLastColumn="0" w:lastRowFirstColumn="0" w:lastRowLastColumn="0"/>
            <w:tcW w:w="4788" w:type="dxa"/>
          </w:tcPr>
          <w:p w:rsidR="0092010E" w:rsidRDefault="0036590B" w:rsidP="0098675D">
            <w:pPr>
              <w:spacing w:before="240"/>
            </w:pPr>
            <w:r w:rsidRPr="006F294D">
              <w:rPr>
                <w:sz w:val="24"/>
                <w:szCs w:val="24"/>
              </w:rPr>
              <w:t>Related work a</w:t>
            </w:r>
            <w:r w:rsidR="0092010E" w:rsidRPr="006F294D">
              <w:rPr>
                <w:sz w:val="24"/>
                <w:szCs w:val="24"/>
              </w:rPr>
              <w:t xml:space="preserve">rea, as defined in the </w:t>
            </w:r>
            <w:hyperlink r:id="rId10" w:history="1">
              <w:r w:rsidR="0092010E" w:rsidRPr="006F294D">
                <w:rPr>
                  <w:rStyle w:val="Hyperlink"/>
                  <w:bCs w:val="0"/>
                  <w:color w:val="FFFFFF" w:themeColor="background1"/>
                  <w:sz w:val="24"/>
                  <w:szCs w:val="24"/>
                </w:rPr>
                <w:t>UN-REDD Programme Strategy</w:t>
              </w:r>
            </w:hyperlink>
            <w:r>
              <w:rPr>
                <w:rStyle w:val="FootnoteReference"/>
              </w:rPr>
              <w:footnoteReference w:id="1"/>
            </w:r>
          </w:p>
        </w:tc>
        <w:tc>
          <w:tcPr>
            <w:tcW w:w="4788" w:type="dxa"/>
            <w:shd w:val="clear" w:color="auto" w:fill="DBE5F1" w:themeFill="accent1" w:themeFillTint="33"/>
          </w:tcPr>
          <w:p w:rsidR="00EB7A93" w:rsidRDefault="00EB7A93" w:rsidP="00EB7A93">
            <w:pPr>
              <w:spacing w:before="240"/>
              <w:cnfStyle w:val="000000000000" w:firstRow="0" w:lastRow="0" w:firstColumn="0" w:lastColumn="0" w:oddVBand="0" w:evenVBand="0" w:oddHBand="0" w:evenHBand="0" w:firstRowFirstColumn="0" w:firstRowLastColumn="0" w:lastRowFirstColumn="0" w:lastRowLastColumn="0"/>
            </w:pPr>
            <w:r>
              <w:t>Multiple Benefits and Safeguards</w:t>
            </w:r>
          </w:p>
          <w:p w:rsidR="0098675D" w:rsidRDefault="00EB7A93" w:rsidP="00EB7A93">
            <w:pPr>
              <w:spacing w:before="240"/>
              <w:cnfStyle w:val="000000000000" w:firstRow="0" w:lastRow="0" w:firstColumn="0" w:lastColumn="0" w:oddVBand="0" w:evenVBand="0" w:oddHBand="0" w:evenHBand="0" w:firstRowFirstColumn="0" w:firstRowLastColumn="0" w:lastRowFirstColumn="0" w:lastRowLastColumn="0"/>
            </w:pPr>
            <w:r>
              <w:t xml:space="preserve">The proposal refers mainly to Outcome 5, “Safeguards are addressed and respected and multiple benefits of REDD+ are realized” of the </w:t>
            </w:r>
            <w:r>
              <w:lastRenderedPageBreak/>
              <w:t xml:space="preserve">Support to National REDD+ Action: Global Programme Framework 2011-2015 (SNA). This proposal bolsters existing funds to allow UN-REDD to provide technical support to a greater number of countries and to improve coordination as demand for support in this work area grows. </w:t>
            </w:r>
          </w:p>
        </w:tc>
      </w:tr>
      <w:tr w:rsidR="0092010E" w:rsidTr="00920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92010E" w:rsidRPr="006F294D" w:rsidRDefault="00EB7A93" w:rsidP="0098675D">
            <w:pPr>
              <w:spacing w:before="240"/>
              <w:rPr>
                <w:sz w:val="24"/>
                <w:szCs w:val="24"/>
              </w:rPr>
            </w:pPr>
            <w:r>
              <w:rPr>
                <w:sz w:val="24"/>
                <w:szCs w:val="24"/>
              </w:rPr>
              <w:lastRenderedPageBreak/>
              <w:t>Total concept d</w:t>
            </w:r>
            <w:r w:rsidR="0092010E" w:rsidRPr="006F294D">
              <w:rPr>
                <w:sz w:val="24"/>
                <w:szCs w:val="24"/>
              </w:rPr>
              <w:t>uration</w:t>
            </w:r>
          </w:p>
        </w:tc>
        <w:tc>
          <w:tcPr>
            <w:tcW w:w="4788" w:type="dxa"/>
            <w:shd w:val="clear" w:color="auto" w:fill="DBE5F1" w:themeFill="accent1" w:themeFillTint="33"/>
          </w:tcPr>
          <w:p w:rsidR="0098675D" w:rsidRDefault="00EB7A93" w:rsidP="0098675D">
            <w:pPr>
              <w:spacing w:before="240"/>
              <w:cnfStyle w:val="000000100000" w:firstRow="0" w:lastRow="0" w:firstColumn="0" w:lastColumn="0" w:oddVBand="0" w:evenVBand="0" w:oddHBand="1" w:evenHBand="0" w:firstRowFirstColumn="0" w:firstRowLastColumn="0" w:lastRowFirstColumn="0" w:lastRowLastColumn="0"/>
            </w:pPr>
            <w:r w:rsidRPr="00EB7A93">
              <w:t xml:space="preserve">1 January 2014 - 31 December 2015 (24 months) </w:t>
            </w:r>
          </w:p>
        </w:tc>
      </w:tr>
      <w:tr w:rsidR="0092010E" w:rsidTr="0092010E">
        <w:tc>
          <w:tcPr>
            <w:cnfStyle w:val="001000000000" w:firstRow="0" w:lastRow="0" w:firstColumn="1" w:lastColumn="0" w:oddVBand="0" w:evenVBand="0" w:oddHBand="0" w:evenHBand="0" w:firstRowFirstColumn="0" w:firstRowLastColumn="0" w:lastRowFirstColumn="0" w:lastRowLastColumn="0"/>
            <w:tcW w:w="4788" w:type="dxa"/>
          </w:tcPr>
          <w:p w:rsidR="0092010E" w:rsidRPr="006F294D" w:rsidRDefault="00EB7A93" w:rsidP="00EB7A93">
            <w:pPr>
              <w:spacing w:before="240"/>
              <w:rPr>
                <w:sz w:val="24"/>
                <w:szCs w:val="24"/>
              </w:rPr>
            </w:pPr>
            <w:r>
              <w:rPr>
                <w:sz w:val="24"/>
                <w:szCs w:val="24"/>
              </w:rPr>
              <w:t>Total concept amount</w:t>
            </w:r>
          </w:p>
        </w:tc>
        <w:tc>
          <w:tcPr>
            <w:tcW w:w="4788" w:type="dxa"/>
            <w:shd w:val="clear" w:color="auto" w:fill="DBE5F1" w:themeFill="accent1" w:themeFillTint="33"/>
          </w:tcPr>
          <w:p w:rsidR="0098675D" w:rsidRDefault="0098675D" w:rsidP="00AD13AA">
            <w:pPr>
              <w:spacing w:before="240"/>
              <w:cnfStyle w:val="000000000000" w:firstRow="0" w:lastRow="0" w:firstColumn="0" w:lastColumn="0" w:oddVBand="0" w:evenVBand="0" w:oddHBand="0" w:evenHBand="0" w:firstRowFirstColumn="0" w:firstRowLastColumn="0" w:lastRowFirstColumn="0" w:lastRowLastColumn="0"/>
            </w:pPr>
            <w:r w:rsidRPr="0098675D">
              <w:t xml:space="preserve">US$ </w:t>
            </w:r>
            <w:r w:rsidR="00AD13AA">
              <w:t>1,524,750</w:t>
            </w:r>
          </w:p>
        </w:tc>
      </w:tr>
      <w:tr w:rsidR="00EB7A93" w:rsidTr="00920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EB7A93" w:rsidRDefault="00EB7A93" w:rsidP="00EB7A93">
            <w:pPr>
              <w:spacing w:before="240"/>
              <w:rPr>
                <w:sz w:val="24"/>
                <w:szCs w:val="24"/>
              </w:rPr>
            </w:pPr>
            <w:r>
              <w:rPr>
                <w:sz w:val="24"/>
                <w:szCs w:val="24"/>
              </w:rPr>
              <w:t xml:space="preserve">Total amount requested </w:t>
            </w:r>
          </w:p>
        </w:tc>
        <w:tc>
          <w:tcPr>
            <w:tcW w:w="4788" w:type="dxa"/>
            <w:shd w:val="clear" w:color="auto" w:fill="DBE5F1" w:themeFill="accent1" w:themeFillTint="33"/>
          </w:tcPr>
          <w:p w:rsidR="00EB7A93" w:rsidRDefault="00EB7A93" w:rsidP="00EB7A93">
            <w:pPr>
              <w:spacing w:before="240"/>
              <w:cnfStyle w:val="000000100000" w:firstRow="0" w:lastRow="0" w:firstColumn="0" w:lastColumn="0" w:oddVBand="0" w:evenVBand="0" w:oddHBand="1" w:evenHBand="0" w:firstRowFirstColumn="0" w:firstRowLastColumn="0" w:lastRowFirstColumn="0" w:lastRowLastColumn="0"/>
            </w:pPr>
            <w:r w:rsidRPr="00EB7A93">
              <w:t>US$ 775,750</w:t>
            </w:r>
            <w:r w:rsidRPr="00C2521C">
              <w:rPr>
                <w:rStyle w:val="FootnoteReference"/>
                <w:b/>
              </w:rPr>
              <w:footnoteReference w:id="2"/>
            </w:r>
            <w:r w:rsidRPr="00EB7A93">
              <w:t xml:space="preserve"> for activities to be undertaken until 31 December 2014</w:t>
            </w:r>
          </w:p>
          <w:p w:rsidR="00EB7A93" w:rsidRPr="0098675D" w:rsidRDefault="00EB7A93" w:rsidP="00EB7A93">
            <w:pPr>
              <w:spacing w:before="240"/>
              <w:cnfStyle w:val="000000100000" w:firstRow="0" w:lastRow="0" w:firstColumn="0" w:lastColumn="0" w:oddVBand="0" w:evenVBand="0" w:oddHBand="1" w:evenHBand="0" w:firstRowFirstColumn="0" w:firstRowLastColumn="0" w:lastRowFirstColumn="0" w:lastRowLastColumn="0"/>
            </w:pPr>
          </w:p>
        </w:tc>
      </w:tr>
    </w:tbl>
    <w:p w:rsidR="0092010E" w:rsidRDefault="0092010E"/>
    <w:tbl>
      <w:tblPr>
        <w:tblStyle w:val="MediumGrid3-Accent1"/>
        <w:tblW w:w="0" w:type="auto"/>
        <w:tblLook w:val="04A0" w:firstRow="1" w:lastRow="0" w:firstColumn="1" w:lastColumn="0" w:noHBand="0" w:noVBand="1"/>
      </w:tblPr>
      <w:tblGrid>
        <w:gridCol w:w="9576"/>
      </w:tblGrid>
      <w:tr w:rsidR="0092010E" w:rsidTr="009201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2010E" w:rsidRPr="006F294D" w:rsidRDefault="0092010E">
            <w:pPr>
              <w:rPr>
                <w:sz w:val="24"/>
                <w:szCs w:val="24"/>
              </w:rPr>
            </w:pPr>
            <w:r w:rsidRPr="006F294D">
              <w:rPr>
                <w:sz w:val="24"/>
                <w:szCs w:val="24"/>
              </w:rPr>
              <w:t>II. Background</w:t>
            </w:r>
          </w:p>
        </w:tc>
      </w:tr>
      <w:tr w:rsidR="0092010E" w:rsidTr="00920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DBE5F1" w:themeFill="accent1" w:themeFillTint="33"/>
          </w:tcPr>
          <w:p w:rsidR="0092010E" w:rsidRDefault="00EB7A93" w:rsidP="001A291E">
            <w:pPr>
              <w:spacing w:before="240" w:line="276" w:lineRule="auto"/>
              <w:rPr>
                <w:b w:val="0"/>
                <w:color w:val="auto"/>
              </w:rPr>
            </w:pPr>
            <w:r w:rsidRPr="00EB7A93">
              <w:rPr>
                <w:b w:val="0"/>
                <w:color w:val="auto"/>
              </w:rPr>
              <w:t>The development of the UN-REDD Programme approach to safeguards was reflected in the SNA budget review for 2013-2014 and refers to SNA Outcome 5,“Safeguards are addressed and respected and multiple benefits of REDD+ are realized.” The related Outputs are Output 5.2, “Countries make use of support to develop approaches to address and respect safeguards,” and Output 5.3, “Countries make use of support to provide information on how safeguards are addressed and respected.”</w:t>
            </w:r>
          </w:p>
          <w:p w:rsidR="00EB7A93" w:rsidRPr="00EB7A93" w:rsidRDefault="00EB7A93" w:rsidP="001A291E">
            <w:pPr>
              <w:spacing w:before="240" w:line="276" w:lineRule="auto"/>
              <w:rPr>
                <w:b w:val="0"/>
                <w:color w:val="auto"/>
              </w:rPr>
            </w:pPr>
            <w:r w:rsidRPr="00EB7A93">
              <w:rPr>
                <w:b w:val="0"/>
                <w:color w:val="auto"/>
              </w:rPr>
              <w:t xml:space="preserve">Support to countries on safeguards is based on the </w:t>
            </w:r>
            <w:hyperlink r:id="rId11" w:history="1">
              <w:r w:rsidRPr="00EB7A93">
                <w:rPr>
                  <w:rStyle w:val="Hyperlink"/>
                  <w:b w:val="0"/>
                  <w:bCs w:val="0"/>
                </w:rPr>
                <w:t>UN-REDD Programme conceptual framework</w:t>
              </w:r>
            </w:hyperlink>
            <w:r w:rsidRPr="00EB7A93">
              <w:rPr>
                <w:b w:val="0"/>
                <w:color w:val="auto"/>
              </w:rPr>
              <w:t>. The framework offers a set of steps that countries may wish to consider undertaking whilst developing their national approaches to safeguards, as well as relevant tools and guiding documents. The framework’s aims are to (1) improve the quality of UN-REDD support for REDD+ implementation in countries (e.g. in National Programmes or Targeted Support); (2) guide the development and consistency of UN-REDD Programme knowledge products related to safeguards; and, (3) enhance interagency coordination.</w:t>
            </w:r>
          </w:p>
          <w:p w:rsidR="00EB7A93" w:rsidRPr="00EB7A93" w:rsidRDefault="00EB7A93" w:rsidP="001A291E">
            <w:pPr>
              <w:spacing w:before="240" w:line="276" w:lineRule="auto"/>
              <w:jc w:val="both"/>
              <w:rPr>
                <w:b w:val="0"/>
                <w:color w:val="000000" w:themeColor="text1"/>
              </w:rPr>
            </w:pPr>
            <w:r w:rsidRPr="00EB7A93">
              <w:rPr>
                <w:b w:val="0"/>
                <w:color w:val="000000" w:themeColor="text1"/>
              </w:rPr>
              <w:t>The main steps in the conceptual framework are:</w:t>
            </w:r>
          </w:p>
          <w:p w:rsidR="00EB7A93" w:rsidRPr="00EB7A93" w:rsidRDefault="00EB7A93" w:rsidP="001A291E">
            <w:pPr>
              <w:pStyle w:val="ListParagraph"/>
              <w:numPr>
                <w:ilvl w:val="0"/>
                <w:numId w:val="3"/>
              </w:numPr>
              <w:spacing w:after="100" w:afterAutospacing="1" w:line="276" w:lineRule="auto"/>
              <w:jc w:val="both"/>
              <w:rPr>
                <w:b w:val="0"/>
                <w:color w:val="000000" w:themeColor="text1"/>
              </w:rPr>
            </w:pPr>
            <w:r w:rsidRPr="00EB7A93">
              <w:rPr>
                <w:b w:val="0"/>
                <w:color w:val="000000" w:themeColor="text1"/>
              </w:rPr>
              <w:t>Definition of goals of the safeguards approach</w:t>
            </w:r>
          </w:p>
          <w:p w:rsidR="00EB7A93" w:rsidRPr="00EB7A93" w:rsidRDefault="00EB7A93" w:rsidP="001A291E">
            <w:pPr>
              <w:pStyle w:val="ListParagraph"/>
              <w:numPr>
                <w:ilvl w:val="0"/>
                <w:numId w:val="4"/>
              </w:numPr>
              <w:spacing w:after="100" w:afterAutospacing="1" w:line="276" w:lineRule="auto"/>
              <w:jc w:val="both"/>
              <w:rPr>
                <w:b w:val="0"/>
                <w:color w:val="000000" w:themeColor="text1"/>
              </w:rPr>
            </w:pPr>
            <w:r w:rsidRPr="00EB7A93">
              <w:rPr>
                <w:b w:val="0"/>
                <w:color w:val="000000" w:themeColor="text1"/>
              </w:rPr>
              <w:t>Interpretation of UNFCCC decisions from the country perspective</w:t>
            </w:r>
          </w:p>
          <w:p w:rsidR="00EB7A93" w:rsidRPr="00EB7A93" w:rsidRDefault="00EB7A93" w:rsidP="001A291E">
            <w:pPr>
              <w:pStyle w:val="ListParagraph"/>
              <w:numPr>
                <w:ilvl w:val="0"/>
                <w:numId w:val="4"/>
              </w:numPr>
              <w:spacing w:after="100" w:afterAutospacing="1" w:line="276" w:lineRule="auto"/>
              <w:jc w:val="both"/>
              <w:rPr>
                <w:b w:val="0"/>
                <w:color w:val="000000" w:themeColor="text1"/>
              </w:rPr>
            </w:pPr>
            <w:r w:rsidRPr="00EB7A93">
              <w:rPr>
                <w:b w:val="0"/>
                <w:color w:val="000000" w:themeColor="text1"/>
              </w:rPr>
              <w:t>Consideration of specific social and environmental risks as well as benefits that might be associated with REDD+ in the country</w:t>
            </w:r>
          </w:p>
          <w:p w:rsidR="00EB7A93" w:rsidRPr="00EB7A93" w:rsidRDefault="00EB7A93" w:rsidP="001A291E">
            <w:pPr>
              <w:pStyle w:val="ListParagraph"/>
              <w:numPr>
                <w:ilvl w:val="0"/>
                <w:numId w:val="3"/>
              </w:numPr>
              <w:spacing w:after="100" w:afterAutospacing="1" w:line="276" w:lineRule="auto"/>
              <w:jc w:val="both"/>
              <w:rPr>
                <w:b w:val="0"/>
                <w:color w:val="000000" w:themeColor="text1"/>
              </w:rPr>
            </w:pPr>
            <w:r w:rsidRPr="00EB7A93">
              <w:rPr>
                <w:b w:val="0"/>
                <w:color w:val="000000" w:themeColor="text1"/>
              </w:rPr>
              <w:t>Development of Policies, Laws and Regulations (PLRs) relevant to REDD+ safeguards</w:t>
            </w:r>
          </w:p>
          <w:p w:rsidR="00EB7A93" w:rsidRPr="00EB7A93" w:rsidRDefault="00EB7A93" w:rsidP="001A291E">
            <w:pPr>
              <w:pStyle w:val="ListParagraph"/>
              <w:numPr>
                <w:ilvl w:val="0"/>
                <w:numId w:val="4"/>
              </w:numPr>
              <w:spacing w:after="100" w:afterAutospacing="1" w:line="276" w:lineRule="auto"/>
              <w:jc w:val="both"/>
              <w:rPr>
                <w:b w:val="0"/>
                <w:color w:val="000000" w:themeColor="text1"/>
              </w:rPr>
            </w:pPr>
            <w:r w:rsidRPr="00EB7A93">
              <w:rPr>
                <w:b w:val="0"/>
                <w:color w:val="000000" w:themeColor="text1"/>
              </w:rPr>
              <w:t>Gap analysis of existing country PLRs against safeguards</w:t>
            </w:r>
          </w:p>
          <w:p w:rsidR="00EB7A93" w:rsidRPr="00EB7A93" w:rsidRDefault="00EB7A93" w:rsidP="001A291E">
            <w:pPr>
              <w:pStyle w:val="ListParagraph"/>
              <w:numPr>
                <w:ilvl w:val="0"/>
                <w:numId w:val="4"/>
              </w:numPr>
              <w:spacing w:after="100" w:afterAutospacing="1" w:line="276" w:lineRule="auto"/>
              <w:jc w:val="both"/>
              <w:rPr>
                <w:b w:val="0"/>
                <w:color w:val="000000" w:themeColor="text1"/>
              </w:rPr>
            </w:pPr>
            <w:r w:rsidRPr="00EB7A93">
              <w:rPr>
                <w:b w:val="0"/>
                <w:color w:val="000000" w:themeColor="text1"/>
              </w:rPr>
              <w:t>Creation of new PLRs and procedures</w:t>
            </w:r>
          </w:p>
          <w:p w:rsidR="00EB7A93" w:rsidRPr="00EB7A93" w:rsidRDefault="00EB7A93" w:rsidP="001A291E">
            <w:pPr>
              <w:pStyle w:val="ListParagraph"/>
              <w:numPr>
                <w:ilvl w:val="0"/>
                <w:numId w:val="4"/>
              </w:numPr>
              <w:spacing w:after="100" w:afterAutospacing="1" w:line="276" w:lineRule="auto"/>
              <w:jc w:val="both"/>
              <w:rPr>
                <w:b w:val="0"/>
                <w:color w:val="000000" w:themeColor="text1"/>
              </w:rPr>
            </w:pPr>
            <w:r w:rsidRPr="00EB7A93">
              <w:rPr>
                <w:b w:val="0"/>
                <w:color w:val="000000" w:themeColor="text1"/>
              </w:rPr>
              <w:t>Definition of REDD+ safeguard policies</w:t>
            </w:r>
          </w:p>
          <w:p w:rsidR="00EB7A93" w:rsidRPr="00EB7A93" w:rsidRDefault="00EB7A93" w:rsidP="001A291E">
            <w:pPr>
              <w:pStyle w:val="ListParagraph"/>
              <w:numPr>
                <w:ilvl w:val="0"/>
                <w:numId w:val="3"/>
              </w:numPr>
              <w:spacing w:after="100" w:afterAutospacing="1" w:line="276" w:lineRule="auto"/>
              <w:jc w:val="both"/>
              <w:rPr>
                <w:b w:val="0"/>
                <w:color w:val="000000" w:themeColor="text1"/>
              </w:rPr>
            </w:pPr>
            <w:r w:rsidRPr="00EB7A93">
              <w:rPr>
                <w:b w:val="0"/>
                <w:color w:val="000000" w:themeColor="text1"/>
              </w:rPr>
              <w:t>Development of a Safeguard Information System (SIS)</w:t>
            </w:r>
          </w:p>
          <w:p w:rsidR="00EB7A93" w:rsidRPr="00EB7A93" w:rsidRDefault="00EB7A93" w:rsidP="001A291E">
            <w:pPr>
              <w:pStyle w:val="ListParagraph"/>
              <w:numPr>
                <w:ilvl w:val="0"/>
                <w:numId w:val="4"/>
              </w:numPr>
              <w:spacing w:after="100" w:afterAutospacing="1" w:line="276" w:lineRule="auto"/>
              <w:jc w:val="both"/>
              <w:rPr>
                <w:b w:val="0"/>
                <w:color w:val="000000" w:themeColor="text1"/>
              </w:rPr>
            </w:pPr>
            <w:r w:rsidRPr="00EB7A93">
              <w:rPr>
                <w:b w:val="0"/>
                <w:color w:val="000000" w:themeColor="text1"/>
              </w:rPr>
              <w:lastRenderedPageBreak/>
              <w:t>Gap analysis of existing country information sources &amp; systems</w:t>
            </w:r>
          </w:p>
          <w:p w:rsidR="00EB7A93" w:rsidRPr="00EB7A93" w:rsidRDefault="00EB7A93" w:rsidP="001A291E">
            <w:pPr>
              <w:pStyle w:val="ListParagraph"/>
              <w:numPr>
                <w:ilvl w:val="0"/>
                <w:numId w:val="4"/>
              </w:numPr>
              <w:spacing w:after="100" w:afterAutospacing="1" w:line="276" w:lineRule="auto"/>
              <w:jc w:val="both"/>
              <w:rPr>
                <w:b w:val="0"/>
                <w:color w:val="000000" w:themeColor="text1"/>
              </w:rPr>
            </w:pPr>
            <w:r w:rsidRPr="00EB7A93">
              <w:rPr>
                <w:b w:val="0"/>
                <w:color w:val="000000" w:themeColor="text1"/>
              </w:rPr>
              <w:t>Development of indicators</w:t>
            </w:r>
          </w:p>
          <w:p w:rsidR="00EB7A93" w:rsidRPr="00EB7A93" w:rsidRDefault="00EB7A93" w:rsidP="001A291E">
            <w:pPr>
              <w:pStyle w:val="ListParagraph"/>
              <w:numPr>
                <w:ilvl w:val="0"/>
                <w:numId w:val="4"/>
              </w:numPr>
              <w:spacing w:after="100" w:afterAutospacing="1" w:line="276" w:lineRule="auto"/>
              <w:jc w:val="both"/>
              <w:rPr>
                <w:b w:val="0"/>
                <w:color w:val="000000" w:themeColor="text1"/>
              </w:rPr>
            </w:pPr>
            <w:r w:rsidRPr="00EB7A93">
              <w:rPr>
                <w:b w:val="0"/>
                <w:color w:val="000000" w:themeColor="text1"/>
              </w:rPr>
              <w:t>Development of data collection methodologies</w:t>
            </w:r>
          </w:p>
          <w:p w:rsidR="0098675D" w:rsidRPr="00EB7A93" w:rsidRDefault="00EB7A93" w:rsidP="001A291E">
            <w:pPr>
              <w:pStyle w:val="ListParagraph"/>
              <w:numPr>
                <w:ilvl w:val="0"/>
                <w:numId w:val="4"/>
              </w:numPr>
              <w:spacing w:after="100" w:afterAutospacing="1" w:line="276" w:lineRule="auto"/>
              <w:jc w:val="both"/>
              <w:rPr>
                <w:color w:val="000000" w:themeColor="text1"/>
              </w:rPr>
            </w:pPr>
            <w:r w:rsidRPr="00EB7A93">
              <w:rPr>
                <w:b w:val="0"/>
                <w:color w:val="000000" w:themeColor="text1"/>
              </w:rPr>
              <w:t>Development of approaches for providing information</w:t>
            </w:r>
          </w:p>
        </w:tc>
      </w:tr>
    </w:tbl>
    <w:p w:rsidR="0092010E" w:rsidRDefault="0092010E"/>
    <w:tbl>
      <w:tblPr>
        <w:tblStyle w:val="MediumGrid3-Accent1"/>
        <w:tblW w:w="0" w:type="auto"/>
        <w:tblLook w:val="04A0" w:firstRow="1" w:lastRow="0" w:firstColumn="1" w:lastColumn="0" w:noHBand="0" w:noVBand="1"/>
      </w:tblPr>
      <w:tblGrid>
        <w:gridCol w:w="9576"/>
      </w:tblGrid>
      <w:tr w:rsidR="0092010E" w:rsidTr="00533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2010E" w:rsidRPr="006F294D" w:rsidRDefault="0092010E" w:rsidP="005338DE">
            <w:pPr>
              <w:rPr>
                <w:sz w:val="24"/>
                <w:szCs w:val="24"/>
              </w:rPr>
            </w:pPr>
            <w:r w:rsidRPr="006F294D">
              <w:rPr>
                <w:sz w:val="24"/>
                <w:szCs w:val="24"/>
              </w:rPr>
              <w:t>III. Results framework and theory of change</w:t>
            </w:r>
          </w:p>
        </w:tc>
      </w:tr>
      <w:tr w:rsidR="0092010E" w:rsidTr="00533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DBE5F1" w:themeFill="accent1" w:themeFillTint="33"/>
          </w:tcPr>
          <w:p w:rsidR="00C448DB" w:rsidRPr="00C448DB" w:rsidRDefault="00C448DB" w:rsidP="001A291E">
            <w:pPr>
              <w:spacing w:before="240" w:line="276" w:lineRule="auto"/>
              <w:rPr>
                <w:b w:val="0"/>
                <w:color w:val="auto"/>
              </w:rPr>
            </w:pPr>
            <w:r w:rsidRPr="00C448DB">
              <w:rPr>
                <w:b w:val="0"/>
                <w:color w:val="auto"/>
              </w:rPr>
              <w:t>This work would enable the UN-REDD Programme to respond more effectively to new Targeted Support requests on safeguards, and to improve coordination of technical backstopping for all SNA safeguards work, including National Programme support. There is growing demand for additional Targeted Support on national approaches to safeguards from UN-REDD Programme partner countries. The growing body of experience from Targeted Support on safeguards to Argentina, Bhutan, Costa Rica, Kenya and Peru can provide valuable lessons on the planning and implementation of such work. Mexico has already started discussions with UN-REDD on technical support for work on safeguards as part of its Tier 2 proposal.</w:t>
            </w:r>
          </w:p>
          <w:p w:rsidR="00C448DB" w:rsidRPr="00C448DB" w:rsidRDefault="00C448DB" w:rsidP="001A291E">
            <w:pPr>
              <w:spacing w:before="240" w:line="276" w:lineRule="auto"/>
              <w:rPr>
                <w:b w:val="0"/>
                <w:color w:val="auto"/>
              </w:rPr>
            </w:pPr>
            <w:r w:rsidRPr="00C448DB">
              <w:rPr>
                <w:b w:val="0"/>
                <w:color w:val="auto"/>
              </w:rPr>
              <w:t xml:space="preserve">Interest in expanded support on safeguards is broad. For example, participants representing partner countries at the UN-REDD Programme’s Africa regional workshop on safeguards and multiple benefits, held in Nairobi in September 2013, suggested that next steps and capacity building needs should include: improved understanding of the UNFCCC context; PLR review (including on enforcement) and development; SIS development; understanding the relationship between the World Bank safeguards/ Strategic Environmental and Social Assessment (SESA) and the Cancun safeguards; spatial mapping related to safeguards; community resources for stakeholder engagement and further facilitation of South-South learning. These comments originated from participants representing the Democratic Republic of the Congo, Cameroon, Ghana, Cotê d’Ivoire, Ethiopia, Kenya, South Sudan, Tanzania, Tunisia and Uganda, showing widespread interest in further support on safeguards. Similar needs were expressed at the </w:t>
            </w:r>
            <w:hyperlink r:id="rId12" w:history="1">
              <w:r w:rsidRPr="00C448DB">
                <w:rPr>
                  <w:rStyle w:val="Hyperlink"/>
                  <w:b w:val="0"/>
                  <w:bCs w:val="0"/>
                </w:rPr>
                <w:t>international safeguards and multiple benefits workshop held in Cambridge in November 2012</w:t>
              </w:r>
            </w:hyperlink>
            <w:r w:rsidRPr="00C448DB">
              <w:rPr>
                <w:b w:val="0"/>
                <w:color w:val="auto"/>
              </w:rPr>
              <w:t>. Additional suggestions were also made there, including for support for the inclusion of natural forest conversion figures as part of deforestation monitoring, and for the development of community-ba</w:t>
            </w:r>
            <w:r>
              <w:rPr>
                <w:b w:val="0"/>
                <w:color w:val="auto"/>
              </w:rPr>
              <w:t>sed monitoring for safeguards.</w:t>
            </w:r>
            <w:r w:rsidR="009E71B3">
              <w:rPr>
                <w:rStyle w:val="FootnoteReference"/>
                <w:b w:val="0"/>
                <w:color w:val="auto"/>
              </w:rPr>
              <w:footnoteReference w:id="3"/>
            </w:r>
          </w:p>
          <w:p w:rsidR="00C448DB" w:rsidRPr="00C448DB" w:rsidRDefault="00C448DB" w:rsidP="001A291E">
            <w:pPr>
              <w:spacing w:before="240" w:line="276" w:lineRule="auto"/>
              <w:rPr>
                <w:b w:val="0"/>
                <w:color w:val="auto"/>
              </w:rPr>
            </w:pPr>
            <w:r w:rsidRPr="00C448DB">
              <w:rPr>
                <w:b w:val="0"/>
                <w:color w:val="auto"/>
              </w:rPr>
              <w:t xml:space="preserve">The UN-REDD Programme’s three participating UN agencies possess the expertise to offer support on implementing national safeguards approaches that apply the UN-REDD conceptual framework on safeguards; however, demand for support is beginning to outweigh available staff time. Therefore, in order to meet the increasing demand from countries in a timely and effective way, there is a need both to provide specific financial and technical support for work in those countries and to further strengthen technical capacities within the UN-REDD Programme on safeguards and SIS.  This additional funding will strengthen UN-REDD Programme capacity to support countries, through the appointment of a P4 </w:t>
            </w:r>
            <w:r w:rsidRPr="00C448DB">
              <w:rPr>
                <w:b w:val="0"/>
                <w:color w:val="auto"/>
              </w:rPr>
              <w:lastRenderedPageBreak/>
              <w:t>coordinator position, but the majority of the funding is intended to directly support work with four countries. Collaboration should also be strengthened with key external initiatives and institutions that provide support on safeguards and SIS, such as the World Bank’s Forest Carbon Partnership Facility (FCPF).</w:t>
            </w:r>
          </w:p>
          <w:p w:rsidR="00C448DB" w:rsidRPr="00C448DB" w:rsidRDefault="00C448DB" w:rsidP="001A291E">
            <w:pPr>
              <w:spacing w:before="240" w:line="276" w:lineRule="auto"/>
              <w:rPr>
                <w:b w:val="0"/>
                <w:color w:val="auto"/>
              </w:rPr>
            </w:pPr>
            <w:r w:rsidRPr="00C448DB">
              <w:rPr>
                <w:b w:val="0"/>
                <w:color w:val="auto"/>
              </w:rPr>
              <w:t>The Programme would further guide countries through the application of various tools, guidance and other resources that could be useful at particular stages or for particular aspects of the safeguards/SIS work. Different countries are at different stages in their development of an approach to safeguards, and the precise support provided to them will be negotiated to ensure that their expressed needs are met in a timely fashion. Individual countries may require assistance with work that falls under one or more of the Expected Results below.</w:t>
            </w:r>
          </w:p>
          <w:p w:rsidR="00C448DB" w:rsidRPr="00C448DB" w:rsidRDefault="00C448DB" w:rsidP="001A291E">
            <w:pPr>
              <w:spacing w:before="240" w:line="276" w:lineRule="auto"/>
              <w:rPr>
                <w:b w:val="0"/>
                <w:color w:val="auto"/>
              </w:rPr>
            </w:pPr>
            <w:r w:rsidRPr="00C448DB">
              <w:rPr>
                <w:b w:val="0"/>
                <w:color w:val="auto"/>
              </w:rPr>
              <w:t xml:space="preserve">The following list of indicative activities will be refined to respond to Targeted Support requests that are served by this funded work. For example, the approaches to undertaking these activities would likely include in-country training workshops for one or more countries, testing and customisation of existing UN-REDD tools and guidance and externally-produced resources as appropriate, and collaborative work with national partners on topics such as PLR review and indicator design. The activities under each Expected Result below should be seen as a menu of options, rather than a prescriptive checklist. </w:t>
            </w:r>
          </w:p>
          <w:p w:rsidR="0098675D" w:rsidRDefault="00C448DB" w:rsidP="001A291E">
            <w:pPr>
              <w:spacing w:before="240" w:line="276" w:lineRule="auto"/>
              <w:rPr>
                <w:b w:val="0"/>
                <w:color w:val="auto"/>
              </w:rPr>
            </w:pPr>
            <w:r w:rsidRPr="00240061">
              <w:rPr>
                <w:color w:val="auto"/>
              </w:rPr>
              <w:t>Expected Result 1</w:t>
            </w:r>
            <w:r w:rsidRPr="009E71B3">
              <w:rPr>
                <w:b w:val="0"/>
                <w:color w:val="auto"/>
              </w:rPr>
              <w:t xml:space="preserve"> –</w:t>
            </w:r>
            <w:r w:rsidRPr="00C448DB">
              <w:rPr>
                <w:b w:val="0"/>
                <w:color w:val="auto"/>
              </w:rPr>
              <w:t xml:space="preserve"> Supported countries advance understanding of expectations on safeguards under the UNFCCC, and the UN-REDD Programme conceptual framework on developing country-level approaches to safeguards</w:t>
            </w:r>
            <w:r w:rsidR="0098675D" w:rsidRPr="0098675D">
              <w:rPr>
                <w:b w:val="0"/>
                <w:color w:val="auto"/>
              </w:rPr>
              <w:t>.</w:t>
            </w:r>
          </w:p>
          <w:p w:rsidR="00C448DB" w:rsidRPr="00240061" w:rsidRDefault="00C448DB" w:rsidP="001A291E">
            <w:pPr>
              <w:spacing w:before="240" w:line="276" w:lineRule="auto"/>
              <w:jc w:val="both"/>
              <w:rPr>
                <w:color w:val="000000" w:themeColor="text1"/>
              </w:rPr>
            </w:pPr>
            <w:r w:rsidRPr="00240061">
              <w:rPr>
                <w:color w:val="000000" w:themeColor="text1"/>
              </w:rPr>
              <w:t>Indicative Activities</w:t>
            </w:r>
          </w:p>
          <w:p w:rsidR="00C448DB" w:rsidRPr="00C448DB" w:rsidRDefault="00C448DB" w:rsidP="001A291E">
            <w:pPr>
              <w:pStyle w:val="ListParagraph"/>
              <w:numPr>
                <w:ilvl w:val="0"/>
                <w:numId w:val="8"/>
              </w:numPr>
              <w:spacing w:line="276" w:lineRule="auto"/>
              <w:jc w:val="both"/>
              <w:rPr>
                <w:b w:val="0"/>
                <w:color w:val="000000" w:themeColor="text1"/>
              </w:rPr>
            </w:pPr>
            <w:r w:rsidRPr="00C448DB">
              <w:rPr>
                <w:b w:val="0"/>
                <w:color w:val="000000" w:themeColor="text1"/>
              </w:rPr>
              <w:t>Initial capacity-building work for countries on safeguards, including through the presentation of the conceptual framework, and through planning the implementation of Targeted Support requests</w:t>
            </w:r>
          </w:p>
          <w:p w:rsidR="00C448DB" w:rsidRDefault="00C448DB" w:rsidP="001A291E">
            <w:pPr>
              <w:pStyle w:val="ListParagraph"/>
              <w:numPr>
                <w:ilvl w:val="0"/>
                <w:numId w:val="8"/>
              </w:numPr>
              <w:spacing w:before="240" w:line="276" w:lineRule="auto"/>
              <w:jc w:val="both"/>
              <w:rPr>
                <w:b w:val="0"/>
                <w:color w:val="000000" w:themeColor="text1"/>
              </w:rPr>
            </w:pPr>
            <w:r w:rsidRPr="00C448DB">
              <w:rPr>
                <w:b w:val="0"/>
                <w:color w:val="000000" w:themeColor="text1"/>
              </w:rPr>
              <w:t>Scoping work, including one or more participatory workshops in each country, to achieve the following elements of the conceptual framework, drawing on the UN-REDD Social and Environmental Principles and Criteria (SEPC) to help add detail to the broad principles set out in the Cancun Agreements:</w:t>
            </w:r>
          </w:p>
          <w:p w:rsidR="00C448DB" w:rsidRDefault="00C448DB" w:rsidP="001A291E">
            <w:pPr>
              <w:pStyle w:val="ListParagraph"/>
              <w:numPr>
                <w:ilvl w:val="1"/>
                <w:numId w:val="8"/>
              </w:numPr>
              <w:spacing w:before="240" w:line="276" w:lineRule="auto"/>
              <w:jc w:val="both"/>
              <w:rPr>
                <w:b w:val="0"/>
                <w:color w:val="000000" w:themeColor="text1"/>
              </w:rPr>
            </w:pPr>
            <w:r w:rsidRPr="00C448DB">
              <w:rPr>
                <w:b w:val="0"/>
                <w:color w:val="000000" w:themeColor="text1"/>
              </w:rPr>
              <w:t>Interpreting what is contained in the UNFCCC decisions from the country perspective</w:t>
            </w:r>
          </w:p>
          <w:p w:rsidR="00C448DB" w:rsidRPr="00C448DB" w:rsidRDefault="00C448DB" w:rsidP="001A291E">
            <w:pPr>
              <w:pStyle w:val="ListParagraph"/>
              <w:numPr>
                <w:ilvl w:val="1"/>
                <w:numId w:val="8"/>
              </w:numPr>
              <w:spacing w:before="240" w:line="276" w:lineRule="auto"/>
              <w:jc w:val="both"/>
              <w:rPr>
                <w:b w:val="0"/>
                <w:color w:val="000000" w:themeColor="text1"/>
              </w:rPr>
            </w:pPr>
            <w:r w:rsidRPr="00C448DB">
              <w:rPr>
                <w:b w:val="0"/>
                <w:color w:val="000000" w:themeColor="text1"/>
              </w:rPr>
              <w:t>Consideration of the specific social and environmental risks as well as benefits that might be associated with REDD+ in the country</w:t>
            </w:r>
          </w:p>
          <w:p w:rsidR="00C448DB" w:rsidRPr="00C448DB" w:rsidRDefault="00C448DB" w:rsidP="001A291E">
            <w:pPr>
              <w:spacing w:before="240" w:line="276" w:lineRule="auto"/>
              <w:jc w:val="both"/>
              <w:rPr>
                <w:b w:val="0"/>
                <w:color w:val="000000" w:themeColor="text1"/>
              </w:rPr>
            </w:pPr>
            <w:r w:rsidRPr="00240061">
              <w:rPr>
                <w:color w:val="000000" w:themeColor="text1"/>
              </w:rPr>
              <w:t>Expected Result 2</w:t>
            </w:r>
            <w:r w:rsidRPr="00C448DB">
              <w:rPr>
                <w:b w:val="0"/>
                <w:color w:val="000000" w:themeColor="text1"/>
              </w:rPr>
              <w:t xml:space="preserve"> - Supported countries advance measures to promote and support safeguards </w:t>
            </w:r>
          </w:p>
          <w:p w:rsidR="00C448DB" w:rsidRPr="00240061" w:rsidRDefault="00C448DB" w:rsidP="001A291E">
            <w:pPr>
              <w:spacing w:before="240" w:line="276" w:lineRule="auto"/>
              <w:jc w:val="both"/>
              <w:rPr>
                <w:color w:val="000000" w:themeColor="text1"/>
              </w:rPr>
            </w:pPr>
            <w:r w:rsidRPr="00240061">
              <w:rPr>
                <w:color w:val="000000" w:themeColor="text1"/>
              </w:rPr>
              <w:t xml:space="preserve">Indicative Activities </w:t>
            </w:r>
          </w:p>
          <w:p w:rsidR="00C448DB" w:rsidRPr="00C448DB" w:rsidRDefault="00C448DB" w:rsidP="001A291E">
            <w:pPr>
              <w:pStyle w:val="ListParagraph"/>
              <w:numPr>
                <w:ilvl w:val="0"/>
                <w:numId w:val="8"/>
              </w:numPr>
              <w:spacing w:line="276" w:lineRule="auto"/>
              <w:jc w:val="both"/>
              <w:rPr>
                <w:b w:val="0"/>
                <w:color w:val="000000" w:themeColor="text1"/>
              </w:rPr>
            </w:pPr>
            <w:r w:rsidRPr="00C448DB">
              <w:rPr>
                <w:b w:val="0"/>
                <w:color w:val="000000" w:themeColor="text1"/>
              </w:rPr>
              <w:t>Technical support to countries on developing Policies, Laws and Regulations (PLRs) relevant to REDD+ safeguards, through participative workshops and collaborative working sessions with national experts to undertake:</w:t>
            </w:r>
          </w:p>
          <w:p w:rsidR="00C448DB" w:rsidRPr="00C448DB" w:rsidRDefault="00C448DB" w:rsidP="001A291E">
            <w:pPr>
              <w:pStyle w:val="ListParagraph"/>
              <w:numPr>
                <w:ilvl w:val="1"/>
                <w:numId w:val="8"/>
              </w:numPr>
              <w:spacing w:before="240" w:line="276" w:lineRule="auto"/>
              <w:jc w:val="both"/>
              <w:rPr>
                <w:b w:val="0"/>
                <w:color w:val="000000" w:themeColor="text1"/>
              </w:rPr>
            </w:pPr>
            <w:r w:rsidRPr="00C448DB">
              <w:rPr>
                <w:b w:val="0"/>
                <w:color w:val="000000" w:themeColor="text1"/>
              </w:rPr>
              <w:t>Gap analysis of existing country PLRs against safeguards, trialling the new UN-REDD PLR review tool (which builds upon the earlier SEPC Benefits and Risks Tool)</w:t>
            </w:r>
          </w:p>
          <w:p w:rsidR="00C448DB" w:rsidRPr="00C448DB" w:rsidRDefault="00C448DB" w:rsidP="001A291E">
            <w:pPr>
              <w:pStyle w:val="ListParagraph"/>
              <w:numPr>
                <w:ilvl w:val="1"/>
                <w:numId w:val="8"/>
              </w:numPr>
              <w:spacing w:before="240" w:line="276" w:lineRule="auto"/>
              <w:jc w:val="both"/>
              <w:rPr>
                <w:b w:val="0"/>
                <w:color w:val="000000" w:themeColor="text1"/>
              </w:rPr>
            </w:pPr>
            <w:r w:rsidRPr="00C448DB">
              <w:rPr>
                <w:b w:val="0"/>
                <w:color w:val="000000" w:themeColor="text1"/>
              </w:rPr>
              <w:lastRenderedPageBreak/>
              <w:t xml:space="preserve">Identification of potential new PLRs and procedures </w:t>
            </w:r>
          </w:p>
          <w:p w:rsidR="00C448DB" w:rsidRPr="00C448DB" w:rsidRDefault="00C448DB" w:rsidP="001A291E">
            <w:pPr>
              <w:pStyle w:val="ListParagraph"/>
              <w:numPr>
                <w:ilvl w:val="1"/>
                <w:numId w:val="8"/>
              </w:numPr>
              <w:spacing w:before="240" w:line="276" w:lineRule="auto"/>
              <w:jc w:val="both"/>
              <w:rPr>
                <w:b w:val="0"/>
                <w:color w:val="000000" w:themeColor="text1"/>
              </w:rPr>
            </w:pPr>
            <w:r w:rsidRPr="00C448DB">
              <w:rPr>
                <w:b w:val="0"/>
                <w:color w:val="000000" w:themeColor="text1"/>
              </w:rPr>
              <w:t>Definition of REDD+ safeguard policies, which outline the set of relevant PLRs that has been developed or proposed, and how this provides the foundation for the country’s response to UNFCCC and potentially additional objectives</w:t>
            </w:r>
          </w:p>
          <w:p w:rsidR="00C448DB" w:rsidRDefault="00C448DB" w:rsidP="001A291E">
            <w:pPr>
              <w:spacing w:before="240" w:line="276" w:lineRule="auto"/>
              <w:jc w:val="both"/>
              <w:rPr>
                <w:b w:val="0"/>
                <w:color w:val="000000" w:themeColor="text1"/>
              </w:rPr>
            </w:pPr>
            <w:r w:rsidRPr="00240061">
              <w:rPr>
                <w:color w:val="000000" w:themeColor="text1"/>
              </w:rPr>
              <w:t>Expected Result 3</w:t>
            </w:r>
            <w:r w:rsidRPr="00C448DB">
              <w:rPr>
                <w:b w:val="0"/>
                <w:color w:val="000000" w:themeColor="text1"/>
              </w:rPr>
              <w:t xml:space="preserve"> –Supported countries advance the design and implementation of the safeguard information system on how safeguards are addressed/respected, guided by the UN-REDD Programme approach </w:t>
            </w:r>
          </w:p>
          <w:p w:rsidR="00C448DB" w:rsidRPr="00240061" w:rsidRDefault="00C448DB" w:rsidP="001A291E">
            <w:pPr>
              <w:spacing w:before="240" w:line="276" w:lineRule="auto"/>
              <w:jc w:val="both"/>
              <w:rPr>
                <w:color w:val="000000" w:themeColor="text1"/>
              </w:rPr>
            </w:pPr>
            <w:r w:rsidRPr="00240061">
              <w:rPr>
                <w:color w:val="000000" w:themeColor="text1"/>
              </w:rPr>
              <w:t>Indicative Activities</w:t>
            </w:r>
          </w:p>
          <w:p w:rsidR="009E71B3" w:rsidRPr="009E71B3" w:rsidRDefault="00C448DB" w:rsidP="001A291E">
            <w:pPr>
              <w:pStyle w:val="ListParagraph"/>
              <w:numPr>
                <w:ilvl w:val="0"/>
                <w:numId w:val="8"/>
              </w:numPr>
              <w:spacing w:line="276" w:lineRule="auto"/>
              <w:jc w:val="both"/>
              <w:rPr>
                <w:b w:val="0"/>
                <w:color w:val="000000" w:themeColor="text1"/>
              </w:rPr>
            </w:pPr>
            <w:r w:rsidRPr="009E71B3">
              <w:rPr>
                <w:b w:val="0"/>
                <w:color w:val="000000" w:themeColor="text1"/>
              </w:rPr>
              <w:t>Technical support to countries on developing an SIS, through participative workshops and collaborative working sessions with national experts to undertake:</w:t>
            </w:r>
          </w:p>
          <w:p w:rsidR="009E71B3" w:rsidRDefault="00C448DB" w:rsidP="001A291E">
            <w:pPr>
              <w:pStyle w:val="ListParagraph"/>
              <w:numPr>
                <w:ilvl w:val="1"/>
                <w:numId w:val="8"/>
              </w:numPr>
              <w:spacing w:before="240" w:line="276" w:lineRule="auto"/>
              <w:jc w:val="both"/>
              <w:rPr>
                <w:b w:val="0"/>
                <w:color w:val="000000" w:themeColor="text1"/>
              </w:rPr>
            </w:pPr>
            <w:r w:rsidRPr="009E71B3">
              <w:rPr>
                <w:b w:val="0"/>
                <w:color w:val="000000" w:themeColor="text1"/>
              </w:rPr>
              <w:t>Gap analysis of existing country information sources &amp; systems</w:t>
            </w:r>
            <w:r w:rsidR="009E71B3">
              <w:rPr>
                <w:b w:val="0"/>
                <w:color w:val="000000" w:themeColor="text1"/>
              </w:rPr>
              <w:t xml:space="preserve"> </w:t>
            </w:r>
          </w:p>
          <w:p w:rsidR="009E71B3" w:rsidRDefault="00C448DB" w:rsidP="001A291E">
            <w:pPr>
              <w:pStyle w:val="ListParagraph"/>
              <w:numPr>
                <w:ilvl w:val="1"/>
                <w:numId w:val="8"/>
              </w:numPr>
              <w:spacing w:before="240" w:line="276" w:lineRule="auto"/>
              <w:jc w:val="both"/>
              <w:rPr>
                <w:b w:val="0"/>
                <w:color w:val="000000" w:themeColor="text1"/>
              </w:rPr>
            </w:pPr>
            <w:r w:rsidRPr="009E71B3">
              <w:rPr>
                <w:b w:val="0"/>
                <w:color w:val="000000" w:themeColor="text1"/>
              </w:rPr>
              <w:t>Development of indicators</w:t>
            </w:r>
          </w:p>
          <w:p w:rsidR="009E71B3" w:rsidRDefault="00C448DB" w:rsidP="001A291E">
            <w:pPr>
              <w:pStyle w:val="ListParagraph"/>
              <w:numPr>
                <w:ilvl w:val="1"/>
                <w:numId w:val="8"/>
              </w:numPr>
              <w:spacing w:before="240" w:line="276" w:lineRule="auto"/>
              <w:jc w:val="both"/>
              <w:rPr>
                <w:b w:val="0"/>
                <w:color w:val="000000" w:themeColor="text1"/>
              </w:rPr>
            </w:pPr>
            <w:r w:rsidRPr="009E71B3">
              <w:rPr>
                <w:b w:val="0"/>
                <w:color w:val="000000" w:themeColor="text1"/>
              </w:rPr>
              <w:t>Development of data collection methodologies</w:t>
            </w:r>
          </w:p>
          <w:p w:rsidR="00C448DB" w:rsidRPr="009E71B3" w:rsidRDefault="00C448DB" w:rsidP="001A291E">
            <w:pPr>
              <w:pStyle w:val="ListParagraph"/>
              <w:numPr>
                <w:ilvl w:val="1"/>
                <w:numId w:val="8"/>
              </w:numPr>
              <w:spacing w:before="240" w:line="276" w:lineRule="auto"/>
              <w:jc w:val="both"/>
              <w:rPr>
                <w:b w:val="0"/>
                <w:color w:val="000000" w:themeColor="text1"/>
              </w:rPr>
            </w:pPr>
            <w:r w:rsidRPr="009E71B3">
              <w:rPr>
                <w:b w:val="0"/>
                <w:color w:val="000000" w:themeColor="text1"/>
              </w:rPr>
              <w:t>Development of approaches for providing information</w:t>
            </w:r>
          </w:p>
          <w:p w:rsidR="00C448DB" w:rsidRPr="00C448DB" w:rsidRDefault="00C448DB" w:rsidP="001A291E">
            <w:pPr>
              <w:spacing w:before="240" w:line="276" w:lineRule="auto"/>
              <w:jc w:val="both"/>
              <w:rPr>
                <w:b w:val="0"/>
                <w:color w:val="000000" w:themeColor="text1"/>
              </w:rPr>
            </w:pPr>
            <w:r w:rsidRPr="00240061">
              <w:rPr>
                <w:color w:val="000000" w:themeColor="text1"/>
              </w:rPr>
              <w:t>Expected Result 4</w:t>
            </w:r>
            <w:r w:rsidRPr="009E71B3">
              <w:rPr>
                <w:b w:val="0"/>
                <w:color w:val="000000" w:themeColor="text1"/>
              </w:rPr>
              <w:t xml:space="preserve"> -</w:t>
            </w:r>
            <w:r w:rsidR="00AA59B9">
              <w:rPr>
                <w:b w:val="0"/>
                <w:color w:val="000000" w:themeColor="text1"/>
              </w:rPr>
              <w:t xml:space="preserve"> </w:t>
            </w:r>
            <w:r w:rsidRPr="00C448DB">
              <w:rPr>
                <w:b w:val="0"/>
                <w:color w:val="000000" w:themeColor="text1"/>
              </w:rPr>
              <w:t>Strengthened UN-REDD Programme capacity to support countries in these areas and coordinate with other relevant initiative</w:t>
            </w:r>
          </w:p>
          <w:p w:rsidR="00C448DB" w:rsidRPr="00240061" w:rsidRDefault="00C448DB" w:rsidP="001A291E">
            <w:pPr>
              <w:spacing w:before="240" w:line="276" w:lineRule="auto"/>
              <w:jc w:val="both"/>
              <w:rPr>
                <w:color w:val="000000" w:themeColor="text1"/>
              </w:rPr>
            </w:pPr>
            <w:r w:rsidRPr="00240061">
              <w:rPr>
                <w:color w:val="000000" w:themeColor="text1"/>
              </w:rPr>
              <w:t>Indicative Activities</w:t>
            </w:r>
          </w:p>
          <w:p w:rsidR="009E71B3" w:rsidRPr="009E71B3" w:rsidRDefault="00C448DB" w:rsidP="001A291E">
            <w:pPr>
              <w:pStyle w:val="ListParagraph"/>
              <w:numPr>
                <w:ilvl w:val="0"/>
                <w:numId w:val="8"/>
              </w:numPr>
              <w:spacing w:line="276" w:lineRule="auto"/>
              <w:jc w:val="both"/>
              <w:rPr>
                <w:b w:val="0"/>
                <w:color w:val="000000" w:themeColor="text1"/>
              </w:rPr>
            </w:pPr>
            <w:r w:rsidRPr="009E71B3">
              <w:rPr>
                <w:b w:val="0"/>
                <w:color w:val="000000" w:themeColor="text1"/>
              </w:rPr>
              <w:t>Interagency inception meeting to develop a detailed plan for the work</w:t>
            </w:r>
          </w:p>
          <w:p w:rsidR="009E71B3" w:rsidRDefault="00C448DB" w:rsidP="001A291E">
            <w:pPr>
              <w:pStyle w:val="ListParagraph"/>
              <w:numPr>
                <w:ilvl w:val="0"/>
                <w:numId w:val="8"/>
              </w:numPr>
              <w:spacing w:before="240" w:line="276" w:lineRule="auto"/>
              <w:jc w:val="both"/>
              <w:rPr>
                <w:b w:val="0"/>
                <w:color w:val="000000" w:themeColor="text1"/>
              </w:rPr>
            </w:pPr>
            <w:r w:rsidRPr="009E71B3">
              <w:rPr>
                <w:b w:val="0"/>
                <w:color w:val="000000" w:themeColor="text1"/>
              </w:rPr>
              <w:t>Appoint a coordinator for the UN-REDD Programme’s safeguards work, who will:</w:t>
            </w:r>
          </w:p>
          <w:p w:rsidR="009E71B3" w:rsidRDefault="00C448DB" w:rsidP="001A291E">
            <w:pPr>
              <w:pStyle w:val="ListParagraph"/>
              <w:numPr>
                <w:ilvl w:val="1"/>
                <w:numId w:val="8"/>
              </w:numPr>
              <w:spacing w:before="240" w:line="276" w:lineRule="auto"/>
              <w:jc w:val="both"/>
              <w:rPr>
                <w:b w:val="0"/>
                <w:color w:val="000000" w:themeColor="text1"/>
              </w:rPr>
            </w:pPr>
            <w:r w:rsidRPr="009E71B3">
              <w:rPr>
                <w:b w:val="0"/>
                <w:color w:val="000000" w:themeColor="text1"/>
              </w:rPr>
              <w:t>Develop and communicate an overview of safeguards work throughout the UN-REDD Programme</w:t>
            </w:r>
          </w:p>
          <w:p w:rsidR="009E71B3" w:rsidRDefault="00C448DB" w:rsidP="001A291E">
            <w:pPr>
              <w:pStyle w:val="ListParagraph"/>
              <w:numPr>
                <w:ilvl w:val="1"/>
                <w:numId w:val="8"/>
              </w:numPr>
              <w:spacing w:before="240" w:line="276" w:lineRule="auto"/>
              <w:jc w:val="both"/>
              <w:rPr>
                <w:b w:val="0"/>
                <w:color w:val="000000" w:themeColor="text1"/>
              </w:rPr>
            </w:pPr>
            <w:r w:rsidRPr="009E71B3">
              <w:rPr>
                <w:b w:val="0"/>
                <w:color w:val="000000" w:themeColor="text1"/>
              </w:rPr>
              <w:t>Foster learning between countries</w:t>
            </w:r>
          </w:p>
          <w:p w:rsidR="009E71B3" w:rsidRDefault="00C448DB" w:rsidP="001A291E">
            <w:pPr>
              <w:pStyle w:val="ListParagraph"/>
              <w:numPr>
                <w:ilvl w:val="1"/>
                <w:numId w:val="8"/>
              </w:numPr>
              <w:spacing w:before="240" w:line="276" w:lineRule="auto"/>
              <w:jc w:val="both"/>
              <w:rPr>
                <w:b w:val="0"/>
                <w:color w:val="000000" w:themeColor="text1"/>
              </w:rPr>
            </w:pPr>
            <w:r w:rsidRPr="009E71B3">
              <w:rPr>
                <w:b w:val="0"/>
                <w:color w:val="000000" w:themeColor="text1"/>
              </w:rPr>
              <w:t>Promote the use of UN-REDD tools and guidance under the UN-REDD Framework for supporting the development of country approaches to safeguards</w:t>
            </w:r>
          </w:p>
          <w:p w:rsidR="009E71B3" w:rsidRDefault="00C448DB" w:rsidP="001A291E">
            <w:pPr>
              <w:pStyle w:val="ListParagraph"/>
              <w:numPr>
                <w:ilvl w:val="1"/>
                <w:numId w:val="8"/>
              </w:numPr>
              <w:spacing w:before="240" w:line="276" w:lineRule="auto"/>
              <w:jc w:val="both"/>
              <w:rPr>
                <w:b w:val="0"/>
                <w:color w:val="000000" w:themeColor="text1"/>
              </w:rPr>
            </w:pPr>
            <w:r w:rsidRPr="009E71B3">
              <w:rPr>
                <w:b w:val="0"/>
                <w:color w:val="000000" w:themeColor="text1"/>
              </w:rPr>
              <w:t>Support staff across the UN-REDD Programme to promote consistency in approaches to safeguards support across the UN-REDD Programme portfolio of work</w:t>
            </w:r>
          </w:p>
          <w:p w:rsidR="00C448DB" w:rsidRDefault="00C448DB" w:rsidP="001A291E">
            <w:pPr>
              <w:pStyle w:val="ListParagraph"/>
              <w:numPr>
                <w:ilvl w:val="1"/>
                <w:numId w:val="8"/>
              </w:numPr>
              <w:spacing w:before="240" w:line="276" w:lineRule="auto"/>
              <w:jc w:val="both"/>
              <w:rPr>
                <w:b w:val="0"/>
                <w:color w:val="000000" w:themeColor="text1"/>
              </w:rPr>
            </w:pPr>
            <w:r w:rsidRPr="00C448DB">
              <w:rPr>
                <w:b w:val="0"/>
                <w:color w:val="000000" w:themeColor="text1"/>
              </w:rPr>
              <w:t>Strengthen collaboration with key external initiatives and institutions that provide support on safeguards and SIS, such as the World Bank’s Forest Carbon Partnership Facility (FCPF).</w:t>
            </w:r>
          </w:p>
          <w:p w:rsidR="00AA59B9" w:rsidRDefault="009E71B3" w:rsidP="00AA59B9">
            <w:pPr>
              <w:spacing w:before="240" w:line="276" w:lineRule="auto"/>
              <w:jc w:val="both"/>
              <w:rPr>
                <w:color w:val="000000" w:themeColor="text1"/>
              </w:rPr>
            </w:pPr>
            <w:r w:rsidRPr="009E71B3">
              <w:rPr>
                <w:color w:val="000000" w:themeColor="text1"/>
              </w:rPr>
              <w:t>Risks</w:t>
            </w:r>
          </w:p>
          <w:p w:rsidR="009E71B3" w:rsidRPr="00AA59B9" w:rsidRDefault="009E71B3" w:rsidP="00AA59B9">
            <w:pPr>
              <w:pStyle w:val="ListParagraph"/>
              <w:numPr>
                <w:ilvl w:val="0"/>
                <w:numId w:val="11"/>
              </w:numPr>
              <w:spacing w:after="100"/>
              <w:jc w:val="both"/>
              <w:rPr>
                <w:b w:val="0"/>
                <w:color w:val="000000" w:themeColor="text1"/>
              </w:rPr>
            </w:pPr>
            <w:r w:rsidRPr="00AA59B9">
              <w:rPr>
                <w:b w:val="0"/>
                <w:color w:val="000000" w:themeColor="text1"/>
              </w:rPr>
              <w:t>Changes in priorities at the national or international level result in difficulties in finalizing safeguard approaches</w:t>
            </w:r>
          </w:p>
          <w:p w:rsidR="009E71B3" w:rsidRPr="009E71B3" w:rsidRDefault="009E71B3" w:rsidP="00AA59B9">
            <w:pPr>
              <w:pStyle w:val="ListParagraph"/>
              <w:numPr>
                <w:ilvl w:val="0"/>
                <w:numId w:val="8"/>
              </w:numPr>
              <w:spacing w:before="240" w:line="276" w:lineRule="auto"/>
              <w:jc w:val="both"/>
              <w:rPr>
                <w:b w:val="0"/>
                <w:color w:val="000000" w:themeColor="text1"/>
              </w:rPr>
            </w:pPr>
            <w:r w:rsidRPr="009E71B3">
              <w:rPr>
                <w:b w:val="0"/>
                <w:color w:val="000000" w:themeColor="text1"/>
              </w:rPr>
              <w:t>National capacity for designing and implementing a SIS is limited</w:t>
            </w:r>
            <w:r w:rsidRPr="00F83B98">
              <w:rPr>
                <w:color w:val="000000" w:themeColor="text1"/>
              </w:rPr>
              <w:t>.</w:t>
            </w:r>
          </w:p>
          <w:p w:rsidR="009E71B3" w:rsidRPr="00C448DB" w:rsidRDefault="009E71B3" w:rsidP="009E71B3">
            <w:pPr>
              <w:pStyle w:val="ListParagraph"/>
              <w:spacing w:before="240"/>
              <w:ind w:left="1440"/>
              <w:jc w:val="both"/>
              <w:rPr>
                <w:b w:val="0"/>
                <w:color w:val="000000" w:themeColor="text1"/>
              </w:rPr>
            </w:pPr>
          </w:p>
        </w:tc>
      </w:tr>
    </w:tbl>
    <w:p w:rsidR="0092010E" w:rsidRDefault="0092010E"/>
    <w:p w:rsidR="00EA2E6B" w:rsidRDefault="00EA2E6B"/>
    <w:tbl>
      <w:tblPr>
        <w:tblStyle w:val="MediumGrid3-Accent1"/>
        <w:tblW w:w="0" w:type="auto"/>
        <w:tblLook w:val="04A0" w:firstRow="1" w:lastRow="0" w:firstColumn="1" w:lastColumn="0" w:noHBand="0" w:noVBand="1"/>
      </w:tblPr>
      <w:tblGrid>
        <w:gridCol w:w="9576"/>
      </w:tblGrid>
      <w:tr w:rsidR="0092010E" w:rsidTr="00533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2010E" w:rsidRPr="006F294D" w:rsidRDefault="0092010E" w:rsidP="005338DE">
            <w:pPr>
              <w:rPr>
                <w:sz w:val="24"/>
                <w:szCs w:val="24"/>
              </w:rPr>
            </w:pPr>
            <w:r w:rsidRPr="006F294D">
              <w:rPr>
                <w:sz w:val="24"/>
                <w:szCs w:val="24"/>
              </w:rPr>
              <w:lastRenderedPageBreak/>
              <w:t xml:space="preserve">IV. Management </w:t>
            </w:r>
            <w:r w:rsidR="006F294D" w:rsidRPr="006F294D">
              <w:rPr>
                <w:sz w:val="24"/>
                <w:szCs w:val="24"/>
              </w:rPr>
              <w:t>arrangements and partnerships</w:t>
            </w:r>
          </w:p>
        </w:tc>
      </w:tr>
      <w:tr w:rsidR="0092010E" w:rsidTr="00533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DBE5F1" w:themeFill="accent1" w:themeFillTint="33"/>
          </w:tcPr>
          <w:p w:rsidR="009E71B3" w:rsidRPr="009E71B3" w:rsidRDefault="009E71B3" w:rsidP="001A291E">
            <w:pPr>
              <w:spacing w:before="240" w:line="276" w:lineRule="auto"/>
              <w:rPr>
                <w:b w:val="0"/>
                <w:color w:val="auto"/>
              </w:rPr>
            </w:pPr>
            <w:r w:rsidRPr="009E71B3">
              <w:rPr>
                <w:b w:val="0"/>
                <w:color w:val="auto"/>
              </w:rPr>
              <w:t>The UN-REDD Programme’s participating UN agencies already cooperate closely on safeguards issues, both at a global scale through the Safeguards Coordination Group, and at a regional scale in their support to National Programme activities and Targeted Support requests. Informal relationships exist with other actors, including the FCPF and the NGO-led REDD+ Social &amp; Environmental Standards initiative. Efforts have been made with the REDD+ Social and Environmental Standards (SES), in particular to harmonize the concepts, language used and messages delivered to countries.</w:t>
            </w:r>
          </w:p>
          <w:p w:rsidR="0098675D" w:rsidRDefault="009E71B3" w:rsidP="001A291E">
            <w:pPr>
              <w:spacing w:before="240" w:line="276" w:lineRule="auto"/>
              <w:rPr>
                <w:b w:val="0"/>
                <w:color w:val="auto"/>
              </w:rPr>
            </w:pPr>
            <w:r w:rsidRPr="009E71B3">
              <w:rPr>
                <w:b w:val="0"/>
                <w:color w:val="auto"/>
              </w:rPr>
              <w:t>Within partner countries, the UN-REDD Programme will work through institutions at the national level as designated by the responsible governments.</w:t>
            </w:r>
          </w:p>
          <w:p w:rsidR="009E71B3" w:rsidRPr="0098675D" w:rsidRDefault="009E71B3" w:rsidP="009E71B3">
            <w:pPr>
              <w:spacing w:before="240" w:line="276" w:lineRule="auto"/>
              <w:rPr>
                <w:b w:val="0"/>
                <w:color w:val="auto"/>
              </w:rPr>
            </w:pPr>
          </w:p>
        </w:tc>
      </w:tr>
    </w:tbl>
    <w:p w:rsidR="0092010E" w:rsidRDefault="0092010E"/>
    <w:tbl>
      <w:tblPr>
        <w:tblStyle w:val="MediumGrid3-Accent1"/>
        <w:tblW w:w="0" w:type="auto"/>
        <w:tblLook w:val="04A0" w:firstRow="1" w:lastRow="0" w:firstColumn="1" w:lastColumn="0" w:noHBand="0" w:noVBand="1"/>
      </w:tblPr>
      <w:tblGrid>
        <w:gridCol w:w="9576"/>
      </w:tblGrid>
      <w:tr w:rsidR="0092010E" w:rsidTr="00533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2010E" w:rsidRPr="006F294D" w:rsidRDefault="0092010E" w:rsidP="005338DE">
            <w:pPr>
              <w:rPr>
                <w:sz w:val="24"/>
                <w:szCs w:val="24"/>
              </w:rPr>
            </w:pPr>
            <w:r w:rsidRPr="006F294D">
              <w:rPr>
                <w:sz w:val="24"/>
                <w:szCs w:val="24"/>
              </w:rPr>
              <w:t>V. Monitoring and Evaluation</w:t>
            </w:r>
          </w:p>
        </w:tc>
      </w:tr>
      <w:tr w:rsidR="0092010E" w:rsidTr="005338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DBE5F1" w:themeFill="accent1" w:themeFillTint="33"/>
          </w:tcPr>
          <w:p w:rsidR="009E71B3" w:rsidRDefault="009E71B3" w:rsidP="001A291E">
            <w:pPr>
              <w:spacing w:before="240" w:line="276" w:lineRule="auto"/>
              <w:rPr>
                <w:b w:val="0"/>
                <w:color w:val="auto"/>
              </w:rPr>
            </w:pPr>
            <w:r w:rsidRPr="009E71B3">
              <w:rPr>
                <w:b w:val="0"/>
                <w:color w:val="auto"/>
              </w:rPr>
              <w:t>Based on the initial Monitoring Framework in the ”Support to National REDD+ Action: Global Programme Framework 2011-2015 (SNA), the UN-REDD Programme has already proposed global-scale SMART (specific, measurable, attainable, relevant and time-bound) indicators for success in implementing its work (</w:t>
            </w:r>
            <w:hyperlink r:id="rId13" w:history="1">
              <w:r w:rsidRPr="009E71B3">
                <w:rPr>
                  <w:rStyle w:val="Hyperlink"/>
                  <w:b w:val="0"/>
                  <w:bCs w:val="0"/>
                </w:rPr>
                <w:t>UNREDD/PB10/2013/XII/2c</w:t>
              </w:r>
            </w:hyperlink>
            <w:r w:rsidRPr="009E71B3">
              <w:rPr>
                <w:b w:val="0"/>
                <w:color w:val="auto"/>
              </w:rPr>
              <w:t>). Relevant indicators are:</w:t>
            </w:r>
          </w:p>
          <w:p w:rsidR="009E71B3" w:rsidRPr="009E71B3" w:rsidRDefault="009E71B3" w:rsidP="001A291E">
            <w:pPr>
              <w:keepNext/>
              <w:spacing w:after="100" w:line="276" w:lineRule="auto"/>
              <w:ind w:left="720"/>
              <w:jc w:val="both"/>
              <w:rPr>
                <w:b w:val="0"/>
                <w:color w:val="000000" w:themeColor="text1"/>
              </w:rPr>
            </w:pPr>
            <w:r w:rsidRPr="009E71B3">
              <w:rPr>
                <w:b w:val="0"/>
                <w:color w:val="000000" w:themeColor="text1"/>
              </w:rPr>
              <w:t>(5.2b) Number of UN-REDD partner countries that have developed a national approach to safeguards.</w:t>
            </w:r>
          </w:p>
          <w:p w:rsidR="009E71B3" w:rsidRPr="00F83B98" w:rsidRDefault="009E71B3" w:rsidP="001A291E">
            <w:pPr>
              <w:spacing w:after="100" w:line="276" w:lineRule="auto"/>
              <w:ind w:left="720"/>
              <w:jc w:val="both"/>
              <w:rPr>
                <w:color w:val="000000" w:themeColor="text1"/>
              </w:rPr>
            </w:pPr>
            <w:r w:rsidRPr="009E71B3">
              <w:rPr>
                <w:b w:val="0"/>
                <w:color w:val="000000" w:themeColor="text1"/>
              </w:rPr>
              <w:t>(5.3) Number of UN-REDD countries in which there is a clear design process outlined for the national safeguard information system and there is progress with implementation</w:t>
            </w:r>
            <w:r w:rsidRPr="00F83B98">
              <w:rPr>
                <w:color w:val="000000" w:themeColor="text1"/>
              </w:rPr>
              <w:t>.</w:t>
            </w:r>
          </w:p>
          <w:p w:rsidR="0092010E" w:rsidRDefault="009E71B3" w:rsidP="001A291E">
            <w:pPr>
              <w:spacing w:before="240" w:line="276" w:lineRule="auto"/>
              <w:rPr>
                <w:b w:val="0"/>
                <w:color w:val="auto"/>
              </w:rPr>
            </w:pPr>
            <w:r w:rsidRPr="009E71B3">
              <w:rPr>
                <w:b w:val="0"/>
                <w:color w:val="auto"/>
              </w:rPr>
              <w:t>These indicators will be adopted for the present work; with the number of countries associated with each of the two being dependent on the nature of the r</w:t>
            </w:r>
            <w:r>
              <w:rPr>
                <w:b w:val="0"/>
                <w:color w:val="auto"/>
              </w:rPr>
              <w:t>equests for support put forward</w:t>
            </w:r>
            <w:r w:rsidR="0098675D" w:rsidRPr="0098675D">
              <w:rPr>
                <w:b w:val="0"/>
                <w:color w:val="auto"/>
              </w:rPr>
              <w:t>.</w:t>
            </w:r>
          </w:p>
          <w:p w:rsidR="009E71B3" w:rsidRDefault="009E71B3" w:rsidP="001A291E">
            <w:pPr>
              <w:spacing w:before="240" w:line="276" w:lineRule="auto"/>
              <w:rPr>
                <w:b w:val="0"/>
                <w:color w:val="auto"/>
              </w:rPr>
            </w:pPr>
            <w:r>
              <w:rPr>
                <w:b w:val="0"/>
                <w:color w:val="auto"/>
              </w:rPr>
              <w:t>As per</w:t>
            </w:r>
            <w:r w:rsidRPr="009E71B3">
              <w:rPr>
                <w:b w:val="0"/>
                <w:color w:val="auto"/>
              </w:rPr>
              <w:t xml:space="preserve"> UNDG guidelines  for joint programming on resources for monitoring, 5% of the implementation budget has been allocated for monitoring and evaluation costs and is included in the budget of the concept note on “Results Based Management – Managing for Results</w:t>
            </w:r>
            <w:r>
              <w:rPr>
                <w:b w:val="0"/>
                <w:color w:val="auto"/>
              </w:rPr>
              <w:t>.</w:t>
            </w:r>
            <w:r w:rsidRPr="009E71B3">
              <w:rPr>
                <w:b w:val="0"/>
                <w:color w:val="auto"/>
              </w:rPr>
              <w:t>”</w:t>
            </w:r>
          </w:p>
          <w:p w:rsidR="009E71B3" w:rsidRPr="0098675D" w:rsidRDefault="009E71B3" w:rsidP="0098675D">
            <w:pPr>
              <w:spacing w:before="240" w:line="276" w:lineRule="auto"/>
              <w:rPr>
                <w:b w:val="0"/>
                <w:color w:val="auto"/>
              </w:rPr>
            </w:pPr>
          </w:p>
        </w:tc>
      </w:tr>
    </w:tbl>
    <w:p w:rsidR="0092010E" w:rsidRDefault="0092010E">
      <w:pPr>
        <w:sectPr w:rsidR="0092010E">
          <w:footerReference w:type="default" r:id="rId14"/>
          <w:pgSz w:w="12240" w:h="15840"/>
          <w:pgMar w:top="1440" w:right="1440" w:bottom="1440" w:left="1440" w:header="720" w:footer="720" w:gutter="0"/>
          <w:cols w:space="720"/>
          <w:docGrid w:linePitch="360"/>
        </w:sectPr>
      </w:pPr>
    </w:p>
    <w:p w:rsidR="0092010E" w:rsidRPr="001A291E" w:rsidRDefault="00715198" w:rsidP="001A291E">
      <w:pPr>
        <w:pBdr>
          <w:top w:val="single" w:sz="4" w:space="1" w:color="auto"/>
          <w:left w:val="single" w:sz="4" w:space="4" w:color="auto"/>
          <w:bottom w:val="single" w:sz="4" w:space="1" w:color="auto"/>
          <w:right w:val="single" w:sz="4" w:space="4" w:color="auto"/>
        </w:pBdr>
        <w:shd w:val="clear" w:color="auto" w:fill="4F81BD" w:themeFill="accent1"/>
        <w:rPr>
          <w:b/>
          <w:color w:val="FFFFFF" w:themeColor="background1"/>
        </w:rPr>
      </w:pPr>
      <w:r w:rsidRPr="001A291E">
        <w:rPr>
          <w:b/>
          <w:color w:val="FFFFFF" w:themeColor="background1"/>
          <w:sz w:val="24"/>
          <w:szCs w:val="24"/>
        </w:rPr>
        <w:lastRenderedPageBreak/>
        <w:t>VI. Indicative Results Framework</w:t>
      </w:r>
      <w:r w:rsidRPr="001A291E">
        <w:rPr>
          <w:rStyle w:val="FootnoteReference"/>
          <w:b/>
          <w:color w:val="FFFFFF" w:themeColor="background1"/>
        </w:rPr>
        <w:footnoteReference w:id="4"/>
      </w:r>
    </w:p>
    <w:tbl>
      <w:tblPr>
        <w:tblStyle w:val="TableGrid"/>
        <w:tblW w:w="0" w:type="auto"/>
        <w:tblLook w:val="04A0" w:firstRow="1" w:lastRow="0" w:firstColumn="1" w:lastColumn="0" w:noHBand="0" w:noVBand="1"/>
      </w:tblPr>
      <w:tblGrid>
        <w:gridCol w:w="1872"/>
        <w:gridCol w:w="1659"/>
        <w:gridCol w:w="1418"/>
        <w:gridCol w:w="1811"/>
        <w:gridCol w:w="558"/>
        <w:gridCol w:w="503"/>
        <w:gridCol w:w="503"/>
        <w:gridCol w:w="503"/>
        <w:gridCol w:w="561"/>
        <w:gridCol w:w="503"/>
        <w:gridCol w:w="503"/>
        <w:gridCol w:w="503"/>
        <w:gridCol w:w="1192"/>
        <w:gridCol w:w="1192"/>
        <w:gridCol w:w="1192"/>
      </w:tblGrid>
      <w:tr w:rsidR="000364F5" w:rsidTr="0011651D">
        <w:trPr>
          <w:tblHeader/>
        </w:trPr>
        <w:tc>
          <w:tcPr>
            <w:tcW w:w="1872" w:type="dxa"/>
            <w:vMerge w:val="restart"/>
            <w:shd w:val="clear" w:color="auto" w:fill="548DD4" w:themeFill="text2" w:themeFillTint="99"/>
          </w:tcPr>
          <w:p w:rsidR="000364F5" w:rsidRPr="00F66E35" w:rsidRDefault="000364F5" w:rsidP="00F66E35">
            <w:pPr>
              <w:jc w:val="center"/>
              <w:rPr>
                <w:b/>
                <w:color w:val="FFFFFF" w:themeColor="background1"/>
                <w:sz w:val="24"/>
                <w:szCs w:val="24"/>
              </w:rPr>
            </w:pPr>
            <w:r w:rsidRPr="00F66E35">
              <w:rPr>
                <w:b/>
                <w:color w:val="FFFFFF" w:themeColor="background1"/>
                <w:sz w:val="24"/>
                <w:szCs w:val="24"/>
              </w:rPr>
              <w:t>Outcome</w:t>
            </w:r>
          </w:p>
        </w:tc>
        <w:tc>
          <w:tcPr>
            <w:tcW w:w="1659" w:type="dxa"/>
            <w:vMerge w:val="restart"/>
            <w:shd w:val="clear" w:color="auto" w:fill="548DD4" w:themeFill="text2" w:themeFillTint="99"/>
          </w:tcPr>
          <w:p w:rsidR="000364F5" w:rsidRPr="00F66E35" w:rsidRDefault="000364F5" w:rsidP="00F66E35">
            <w:pPr>
              <w:jc w:val="center"/>
              <w:rPr>
                <w:b/>
                <w:color w:val="FFFFFF" w:themeColor="background1"/>
                <w:sz w:val="24"/>
                <w:szCs w:val="24"/>
              </w:rPr>
            </w:pPr>
            <w:r w:rsidRPr="00F66E35">
              <w:rPr>
                <w:b/>
                <w:color w:val="FFFFFF" w:themeColor="background1"/>
                <w:sz w:val="24"/>
                <w:szCs w:val="24"/>
              </w:rPr>
              <w:t>Output</w:t>
            </w:r>
          </w:p>
        </w:tc>
        <w:tc>
          <w:tcPr>
            <w:tcW w:w="1418" w:type="dxa"/>
            <w:vMerge w:val="restart"/>
            <w:shd w:val="clear" w:color="auto" w:fill="548DD4" w:themeFill="text2" w:themeFillTint="99"/>
          </w:tcPr>
          <w:p w:rsidR="000364F5" w:rsidRPr="00F66E35" w:rsidRDefault="000364F5" w:rsidP="00F66E35">
            <w:pPr>
              <w:jc w:val="center"/>
              <w:rPr>
                <w:b/>
                <w:color w:val="FFFFFF" w:themeColor="background1"/>
                <w:sz w:val="24"/>
                <w:szCs w:val="24"/>
              </w:rPr>
            </w:pPr>
            <w:r w:rsidRPr="00F66E35">
              <w:rPr>
                <w:b/>
                <w:color w:val="FFFFFF" w:themeColor="background1"/>
                <w:sz w:val="24"/>
                <w:szCs w:val="24"/>
              </w:rPr>
              <w:t>Responsible Agency</w:t>
            </w:r>
          </w:p>
        </w:tc>
        <w:tc>
          <w:tcPr>
            <w:tcW w:w="1811" w:type="dxa"/>
            <w:vMerge w:val="restart"/>
            <w:shd w:val="clear" w:color="auto" w:fill="548DD4" w:themeFill="text2" w:themeFillTint="99"/>
          </w:tcPr>
          <w:p w:rsidR="000364F5" w:rsidRPr="00F66E35" w:rsidRDefault="000364F5" w:rsidP="00F66E35">
            <w:pPr>
              <w:jc w:val="center"/>
              <w:rPr>
                <w:b/>
                <w:color w:val="FFFFFF" w:themeColor="background1"/>
                <w:sz w:val="24"/>
                <w:szCs w:val="24"/>
              </w:rPr>
            </w:pPr>
            <w:r w:rsidRPr="00F66E35">
              <w:rPr>
                <w:b/>
                <w:color w:val="FFFFFF" w:themeColor="background1"/>
                <w:sz w:val="24"/>
                <w:szCs w:val="24"/>
              </w:rPr>
              <w:t>Indicative Activity</w:t>
            </w:r>
          </w:p>
        </w:tc>
        <w:tc>
          <w:tcPr>
            <w:tcW w:w="4137" w:type="dxa"/>
            <w:gridSpan w:val="8"/>
            <w:shd w:val="clear" w:color="auto" w:fill="548DD4" w:themeFill="text2" w:themeFillTint="99"/>
          </w:tcPr>
          <w:p w:rsidR="000364F5" w:rsidRPr="00F66E35" w:rsidRDefault="000364F5" w:rsidP="00F66E35">
            <w:pPr>
              <w:jc w:val="center"/>
              <w:rPr>
                <w:b/>
                <w:color w:val="FFFFFF" w:themeColor="background1"/>
                <w:sz w:val="24"/>
                <w:szCs w:val="24"/>
              </w:rPr>
            </w:pPr>
            <w:r w:rsidRPr="00F66E35">
              <w:rPr>
                <w:b/>
                <w:color w:val="FFFFFF" w:themeColor="background1"/>
                <w:sz w:val="24"/>
                <w:szCs w:val="24"/>
              </w:rPr>
              <w:t>Estimated Timeline</w:t>
            </w:r>
          </w:p>
        </w:tc>
        <w:tc>
          <w:tcPr>
            <w:tcW w:w="1192" w:type="dxa"/>
            <w:vMerge w:val="restart"/>
            <w:shd w:val="clear" w:color="auto" w:fill="548DD4" w:themeFill="text2" w:themeFillTint="99"/>
          </w:tcPr>
          <w:p w:rsidR="000364F5" w:rsidRPr="00F66E35" w:rsidRDefault="000364F5" w:rsidP="00F66E35">
            <w:pPr>
              <w:jc w:val="center"/>
              <w:rPr>
                <w:b/>
                <w:color w:val="FFFFFF" w:themeColor="background1"/>
                <w:sz w:val="24"/>
                <w:szCs w:val="24"/>
              </w:rPr>
            </w:pPr>
            <w:r w:rsidRPr="00F66E35">
              <w:rPr>
                <w:b/>
                <w:color w:val="FFFFFF" w:themeColor="background1"/>
                <w:sz w:val="24"/>
                <w:szCs w:val="24"/>
              </w:rPr>
              <w:t>Indicative budget (Q1 -Q4 2014)</w:t>
            </w:r>
          </w:p>
          <w:p w:rsidR="000364F5" w:rsidRPr="00F66E35" w:rsidRDefault="000364F5" w:rsidP="00F66E35">
            <w:pPr>
              <w:jc w:val="center"/>
              <w:rPr>
                <w:b/>
                <w:color w:val="FFFFFF" w:themeColor="background1"/>
                <w:sz w:val="24"/>
                <w:szCs w:val="24"/>
              </w:rPr>
            </w:pPr>
            <w:r w:rsidRPr="00F66E35">
              <w:rPr>
                <w:b/>
                <w:color w:val="FFFFFF" w:themeColor="background1"/>
                <w:sz w:val="24"/>
                <w:szCs w:val="24"/>
              </w:rPr>
              <w:t>(US$)</w:t>
            </w:r>
          </w:p>
        </w:tc>
        <w:tc>
          <w:tcPr>
            <w:tcW w:w="1192" w:type="dxa"/>
            <w:vMerge w:val="restart"/>
            <w:shd w:val="clear" w:color="auto" w:fill="548DD4" w:themeFill="text2" w:themeFillTint="99"/>
          </w:tcPr>
          <w:p w:rsidR="000364F5" w:rsidRPr="00F66E35" w:rsidRDefault="000364F5" w:rsidP="00F66E35">
            <w:pPr>
              <w:jc w:val="center"/>
              <w:rPr>
                <w:b/>
                <w:color w:val="FFFFFF" w:themeColor="background1"/>
                <w:sz w:val="24"/>
                <w:szCs w:val="24"/>
              </w:rPr>
            </w:pPr>
            <w:r w:rsidRPr="00F66E35">
              <w:rPr>
                <w:b/>
                <w:color w:val="FFFFFF" w:themeColor="background1"/>
                <w:sz w:val="24"/>
                <w:szCs w:val="24"/>
              </w:rPr>
              <w:t>Indicative budget (Q1 -Q4 2015)</w:t>
            </w:r>
          </w:p>
          <w:p w:rsidR="000364F5" w:rsidRPr="00F66E35" w:rsidRDefault="000364F5" w:rsidP="00F66E35">
            <w:pPr>
              <w:jc w:val="center"/>
              <w:rPr>
                <w:b/>
                <w:color w:val="FFFFFF" w:themeColor="background1"/>
                <w:sz w:val="24"/>
                <w:szCs w:val="24"/>
              </w:rPr>
            </w:pPr>
            <w:r w:rsidRPr="00F66E35">
              <w:rPr>
                <w:b/>
                <w:color w:val="FFFFFF" w:themeColor="background1"/>
                <w:sz w:val="24"/>
                <w:szCs w:val="24"/>
              </w:rPr>
              <w:t>(US$)</w:t>
            </w:r>
          </w:p>
        </w:tc>
        <w:tc>
          <w:tcPr>
            <w:tcW w:w="1192" w:type="dxa"/>
            <w:vMerge w:val="restart"/>
            <w:shd w:val="clear" w:color="auto" w:fill="548DD4" w:themeFill="text2" w:themeFillTint="99"/>
          </w:tcPr>
          <w:p w:rsidR="000364F5" w:rsidRPr="00F66E35" w:rsidRDefault="000364F5" w:rsidP="000364F5">
            <w:pPr>
              <w:jc w:val="center"/>
              <w:rPr>
                <w:b/>
                <w:color w:val="FFFFFF" w:themeColor="background1"/>
                <w:sz w:val="24"/>
                <w:szCs w:val="24"/>
              </w:rPr>
            </w:pPr>
            <w:r w:rsidRPr="00F66E35">
              <w:rPr>
                <w:b/>
                <w:color w:val="FFFFFF" w:themeColor="background1"/>
                <w:sz w:val="24"/>
                <w:szCs w:val="24"/>
              </w:rPr>
              <w:t>Indicative budg</w:t>
            </w:r>
            <w:r w:rsidR="001A291E">
              <w:rPr>
                <w:b/>
                <w:color w:val="FFFFFF" w:themeColor="background1"/>
                <w:sz w:val="24"/>
                <w:szCs w:val="24"/>
              </w:rPr>
              <w:t>et (Q1 2014 -</w:t>
            </w:r>
            <w:r>
              <w:rPr>
                <w:b/>
                <w:color w:val="FFFFFF" w:themeColor="background1"/>
                <w:sz w:val="24"/>
                <w:szCs w:val="24"/>
              </w:rPr>
              <w:t>Q4 2015) (US$)</w:t>
            </w:r>
          </w:p>
        </w:tc>
      </w:tr>
      <w:tr w:rsidR="000364F5" w:rsidTr="001A291E">
        <w:trPr>
          <w:tblHeader/>
        </w:trPr>
        <w:tc>
          <w:tcPr>
            <w:tcW w:w="1872" w:type="dxa"/>
            <w:vMerge/>
          </w:tcPr>
          <w:p w:rsidR="000364F5" w:rsidRPr="00F66E35" w:rsidRDefault="000364F5">
            <w:pPr>
              <w:rPr>
                <w:b/>
                <w:sz w:val="24"/>
                <w:szCs w:val="24"/>
              </w:rPr>
            </w:pPr>
          </w:p>
        </w:tc>
        <w:tc>
          <w:tcPr>
            <w:tcW w:w="1659" w:type="dxa"/>
            <w:vMerge/>
          </w:tcPr>
          <w:p w:rsidR="000364F5" w:rsidRPr="00F66E35" w:rsidRDefault="000364F5">
            <w:pPr>
              <w:rPr>
                <w:b/>
                <w:sz w:val="24"/>
                <w:szCs w:val="24"/>
              </w:rPr>
            </w:pPr>
          </w:p>
        </w:tc>
        <w:tc>
          <w:tcPr>
            <w:tcW w:w="1418" w:type="dxa"/>
            <w:vMerge/>
          </w:tcPr>
          <w:p w:rsidR="000364F5" w:rsidRPr="00F66E35" w:rsidRDefault="000364F5">
            <w:pPr>
              <w:rPr>
                <w:b/>
                <w:sz w:val="24"/>
                <w:szCs w:val="24"/>
              </w:rPr>
            </w:pPr>
          </w:p>
        </w:tc>
        <w:tc>
          <w:tcPr>
            <w:tcW w:w="1811" w:type="dxa"/>
            <w:vMerge/>
          </w:tcPr>
          <w:p w:rsidR="000364F5" w:rsidRPr="00F66E35" w:rsidRDefault="000364F5">
            <w:pPr>
              <w:rPr>
                <w:b/>
                <w:sz w:val="24"/>
                <w:szCs w:val="24"/>
              </w:rPr>
            </w:pPr>
          </w:p>
        </w:tc>
        <w:tc>
          <w:tcPr>
            <w:tcW w:w="2067" w:type="dxa"/>
            <w:gridSpan w:val="4"/>
            <w:shd w:val="clear" w:color="auto" w:fill="548DD4" w:themeFill="text2" w:themeFillTint="99"/>
          </w:tcPr>
          <w:p w:rsidR="000364F5" w:rsidRPr="001A291E" w:rsidRDefault="000364F5" w:rsidP="000364F5">
            <w:pPr>
              <w:jc w:val="center"/>
              <w:rPr>
                <w:b/>
                <w:color w:val="FFFFFF" w:themeColor="background1"/>
                <w:sz w:val="24"/>
                <w:szCs w:val="24"/>
              </w:rPr>
            </w:pPr>
            <w:r w:rsidRPr="001A291E">
              <w:rPr>
                <w:b/>
                <w:color w:val="FFFFFF" w:themeColor="background1"/>
                <w:sz w:val="24"/>
                <w:szCs w:val="24"/>
              </w:rPr>
              <w:t>2014</w:t>
            </w:r>
          </w:p>
        </w:tc>
        <w:tc>
          <w:tcPr>
            <w:tcW w:w="2070" w:type="dxa"/>
            <w:gridSpan w:val="4"/>
            <w:shd w:val="clear" w:color="auto" w:fill="548DD4" w:themeFill="text2" w:themeFillTint="99"/>
          </w:tcPr>
          <w:p w:rsidR="000364F5" w:rsidRPr="001A291E" w:rsidRDefault="000364F5" w:rsidP="000364F5">
            <w:pPr>
              <w:jc w:val="center"/>
              <w:rPr>
                <w:b/>
                <w:color w:val="FFFFFF" w:themeColor="background1"/>
                <w:sz w:val="24"/>
                <w:szCs w:val="24"/>
              </w:rPr>
            </w:pPr>
            <w:r w:rsidRPr="001A291E">
              <w:rPr>
                <w:b/>
                <w:color w:val="FFFFFF" w:themeColor="background1"/>
                <w:sz w:val="24"/>
                <w:szCs w:val="24"/>
              </w:rPr>
              <w:t>2015</w:t>
            </w:r>
          </w:p>
        </w:tc>
        <w:tc>
          <w:tcPr>
            <w:tcW w:w="1192" w:type="dxa"/>
            <w:vMerge/>
          </w:tcPr>
          <w:p w:rsidR="000364F5" w:rsidRPr="00F66E35" w:rsidRDefault="000364F5" w:rsidP="00715198">
            <w:pPr>
              <w:rPr>
                <w:b/>
                <w:sz w:val="24"/>
                <w:szCs w:val="24"/>
              </w:rPr>
            </w:pPr>
          </w:p>
        </w:tc>
        <w:tc>
          <w:tcPr>
            <w:tcW w:w="1192" w:type="dxa"/>
            <w:vMerge/>
          </w:tcPr>
          <w:p w:rsidR="000364F5" w:rsidRPr="00F66E35" w:rsidRDefault="000364F5" w:rsidP="00715198">
            <w:pPr>
              <w:rPr>
                <w:b/>
                <w:sz w:val="24"/>
                <w:szCs w:val="24"/>
              </w:rPr>
            </w:pPr>
          </w:p>
        </w:tc>
        <w:tc>
          <w:tcPr>
            <w:tcW w:w="1192" w:type="dxa"/>
            <w:vMerge/>
          </w:tcPr>
          <w:p w:rsidR="000364F5" w:rsidRPr="00F66E35" w:rsidRDefault="000364F5" w:rsidP="00715198">
            <w:pPr>
              <w:rPr>
                <w:b/>
                <w:sz w:val="24"/>
                <w:szCs w:val="24"/>
              </w:rPr>
            </w:pPr>
          </w:p>
        </w:tc>
      </w:tr>
      <w:tr w:rsidR="001A291E" w:rsidTr="001A291E">
        <w:trPr>
          <w:tblHeader/>
        </w:trPr>
        <w:tc>
          <w:tcPr>
            <w:tcW w:w="1872" w:type="dxa"/>
            <w:vMerge/>
          </w:tcPr>
          <w:p w:rsidR="00F66E35" w:rsidRPr="00F66E35" w:rsidRDefault="00F66E35">
            <w:pPr>
              <w:rPr>
                <w:b/>
                <w:sz w:val="24"/>
                <w:szCs w:val="24"/>
              </w:rPr>
            </w:pPr>
          </w:p>
        </w:tc>
        <w:tc>
          <w:tcPr>
            <w:tcW w:w="1659" w:type="dxa"/>
            <w:vMerge/>
          </w:tcPr>
          <w:p w:rsidR="00F66E35" w:rsidRPr="00F66E35" w:rsidRDefault="00F66E35">
            <w:pPr>
              <w:rPr>
                <w:b/>
                <w:sz w:val="24"/>
                <w:szCs w:val="24"/>
              </w:rPr>
            </w:pPr>
          </w:p>
        </w:tc>
        <w:tc>
          <w:tcPr>
            <w:tcW w:w="1418" w:type="dxa"/>
            <w:vMerge/>
          </w:tcPr>
          <w:p w:rsidR="00F66E35" w:rsidRPr="00F66E35" w:rsidRDefault="00F66E35">
            <w:pPr>
              <w:rPr>
                <w:b/>
                <w:sz w:val="24"/>
                <w:szCs w:val="24"/>
              </w:rPr>
            </w:pPr>
          </w:p>
        </w:tc>
        <w:tc>
          <w:tcPr>
            <w:tcW w:w="1811" w:type="dxa"/>
            <w:vMerge/>
            <w:tcBorders>
              <w:bottom w:val="single" w:sz="4" w:space="0" w:color="auto"/>
            </w:tcBorders>
          </w:tcPr>
          <w:p w:rsidR="00F66E35" w:rsidRPr="00F66E35" w:rsidRDefault="00F66E35">
            <w:pPr>
              <w:rPr>
                <w:b/>
                <w:sz w:val="24"/>
                <w:szCs w:val="24"/>
              </w:rPr>
            </w:pPr>
          </w:p>
        </w:tc>
        <w:tc>
          <w:tcPr>
            <w:tcW w:w="558" w:type="dxa"/>
            <w:shd w:val="clear" w:color="auto" w:fill="548DD4" w:themeFill="text2" w:themeFillTint="99"/>
          </w:tcPr>
          <w:p w:rsidR="00F66E35" w:rsidRPr="00F66E35" w:rsidRDefault="00F66E35" w:rsidP="000364F5">
            <w:pPr>
              <w:jc w:val="center"/>
              <w:rPr>
                <w:b/>
                <w:sz w:val="24"/>
                <w:szCs w:val="24"/>
              </w:rPr>
            </w:pPr>
            <w:r w:rsidRPr="001A291E">
              <w:rPr>
                <w:b/>
                <w:color w:val="FFFFFF" w:themeColor="background1"/>
                <w:sz w:val="24"/>
                <w:szCs w:val="24"/>
              </w:rPr>
              <w:t>Q1</w:t>
            </w:r>
          </w:p>
        </w:tc>
        <w:tc>
          <w:tcPr>
            <w:tcW w:w="503" w:type="dxa"/>
            <w:shd w:val="clear" w:color="auto" w:fill="548DD4" w:themeFill="text2" w:themeFillTint="99"/>
          </w:tcPr>
          <w:p w:rsidR="00F66E35" w:rsidRPr="001A291E" w:rsidRDefault="00F66E35" w:rsidP="000364F5">
            <w:pPr>
              <w:jc w:val="center"/>
              <w:rPr>
                <w:b/>
                <w:color w:val="FFFFFF" w:themeColor="background1"/>
                <w:sz w:val="24"/>
                <w:szCs w:val="24"/>
              </w:rPr>
            </w:pPr>
            <w:r w:rsidRPr="001A291E">
              <w:rPr>
                <w:b/>
                <w:color w:val="FFFFFF" w:themeColor="background1"/>
                <w:sz w:val="24"/>
                <w:szCs w:val="24"/>
              </w:rPr>
              <w:t>Q2</w:t>
            </w:r>
          </w:p>
        </w:tc>
        <w:tc>
          <w:tcPr>
            <w:tcW w:w="503" w:type="dxa"/>
            <w:shd w:val="clear" w:color="auto" w:fill="548DD4" w:themeFill="text2" w:themeFillTint="99"/>
          </w:tcPr>
          <w:p w:rsidR="00F66E35" w:rsidRPr="001A291E" w:rsidRDefault="00F66E35" w:rsidP="000364F5">
            <w:pPr>
              <w:jc w:val="center"/>
              <w:rPr>
                <w:b/>
                <w:color w:val="FFFFFF" w:themeColor="background1"/>
                <w:sz w:val="24"/>
                <w:szCs w:val="24"/>
              </w:rPr>
            </w:pPr>
            <w:r w:rsidRPr="001A291E">
              <w:rPr>
                <w:b/>
                <w:color w:val="FFFFFF" w:themeColor="background1"/>
                <w:sz w:val="24"/>
                <w:szCs w:val="24"/>
              </w:rPr>
              <w:t>Q3</w:t>
            </w:r>
          </w:p>
        </w:tc>
        <w:tc>
          <w:tcPr>
            <w:tcW w:w="503" w:type="dxa"/>
            <w:shd w:val="clear" w:color="auto" w:fill="548DD4" w:themeFill="text2" w:themeFillTint="99"/>
          </w:tcPr>
          <w:p w:rsidR="00F66E35" w:rsidRPr="001A291E" w:rsidRDefault="00F66E35" w:rsidP="000364F5">
            <w:pPr>
              <w:jc w:val="center"/>
              <w:rPr>
                <w:b/>
                <w:color w:val="FFFFFF" w:themeColor="background1"/>
                <w:sz w:val="24"/>
                <w:szCs w:val="24"/>
              </w:rPr>
            </w:pPr>
            <w:r w:rsidRPr="001A291E">
              <w:rPr>
                <w:b/>
                <w:color w:val="FFFFFF" w:themeColor="background1"/>
                <w:sz w:val="24"/>
                <w:szCs w:val="24"/>
              </w:rPr>
              <w:t>Q4</w:t>
            </w:r>
          </w:p>
        </w:tc>
        <w:tc>
          <w:tcPr>
            <w:tcW w:w="561" w:type="dxa"/>
            <w:shd w:val="clear" w:color="auto" w:fill="548DD4" w:themeFill="text2" w:themeFillTint="99"/>
          </w:tcPr>
          <w:p w:rsidR="00F66E35" w:rsidRPr="001A291E" w:rsidRDefault="00F66E35" w:rsidP="000364F5">
            <w:pPr>
              <w:jc w:val="center"/>
              <w:rPr>
                <w:b/>
                <w:color w:val="FFFFFF" w:themeColor="background1"/>
                <w:sz w:val="24"/>
                <w:szCs w:val="24"/>
              </w:rPr>
            </w:pPr>
            <w:r w:rsidRPr="001A291E">
              <w:rPr>
                <w:b/>
                <w:color w:val="FFFFFF" w:themeColor="background1"/>
                <w:sz w:val="24"/>
                <w:szCs w:val="24"/>
              </w:rPr>
              <w:t>Q1</w:t>
            </w:r>
          </w:p>
        </w:tc>
        <w:tc>
          <w:tcPr>
            <w:tcW w:w="503" w:type="dxa"/>
            <w:shd w:val="clear" w:color="auto" w:fill="548DD4" w:themeFill="text2" w:themeFillTint="99"/>
          </w:tcPr>
          <w:p w:rsidR="00F66E35" w:rsidRPr="001A291E" w:rsidRDefault="00F66E35" w:rsidP="000364F5">
            <w:pPr>
              <w:jc w:val="center"/>
              <w:rPr>
                <w:b/>
                <w:color w:val="FFFFFF" w:themeColor="background1"/>
                <w:sz w:val="24"/>
                <w:szCs w:val="24"/>
              </w:rPr>
            </w:pPr>
            <w:r w:rsidRPr="001A291E">
              <w:rPr>
                <w:b/>
                <w:color w:val="FFFFFF" w:themeColor="background1"/>
                <w:sz w:val="24"/>
                <w:szCs w:val="24"/>
              </w:rPr>
              <w:t>Q2</w:t>
            </w:r>
          </w:p>
        </w:tc>
        <w:tc>
          <w:tcPr>
            <w:tcW w:w="503" w:type="dxa"/>
            <w:shd w:val="clear" w:color="auto" w:fill="548DD4" w:themeFill="text2" w:themeFillTint="99"/>
          </w:tcPr>
          <w:p w:rsidR="00F66E35" w:rsidRPr="001A291E" w:rsidRDefault="00F66E35" w:rsidP="000364F5">
            <w:pPr>
              <w:jc w:val="center"/>
              <w:rPr>
                <w:b/>
                <w:color w:val="FFFFFF" w:themeColor="background1"/>
                <w:sz w:val="24"/>
                <w:szCs w:val="24"/>
              </w:rPr>
            </w:pPr>
            <w:r w:rsidRPr="001A291E">
              <w:rPr>
                <w:b/>
                <w:color w:val="FFFFFF" w:themeColor="background1"/>
                <w:sz w:val="24"/>
                <w:szCs w:val="24"/>
              </w:rPr>
              <w:t>Q3</w:t>
            </w:r>
          </w:p>
        </w:tc>
        <w:tc>
          <w:tcPr>
            <w:tcW w:w="503" w:type="dxa"/>
            <w:shd w:val="clear" w:color="auto" w:fill="548DD4" w:themeFill="text2" w:themeFillTint="99"/>
          </w:tcPr>
          <w:p w:rsidR="00F66E35" w:rsidRPr="001A291E" w:rsidRDefault="00F66E35" w:rsidP="000364F5">
            <w:pPr>
              <w:jc w:val="center"/>
              <w:rPr>
                <w:b/>
                <w:color w:val="FFFFFF" w:themeColor="background1"/>
                <w:sz w:val="24"/>
                <w:szCs w:val="24"/>
              </w:rPr>
            </w:pPr>
            <w:r w:rsidRPr="001A291E">
              <w:rPr>
                <w:b/>
                <w:color w:val="FFFFFF" w:themeColor="background1"/>
                <w:sz w:val="24"/>
                <w:szCs w:val="24"/>
              </w:rPr>
              <w:t>Q4</w:t>
            </w:r>
          </w:p>
        </w:tc>
        <w:tc>
          <w:tcPr>
            <w:tcW w:w="1192" w:type="dxa"/>
            <w:vMerge/>
          </w:tcPr>
          <w:p w:rsidR="00F66E35" w:rsidRPr="00F66E35" w:rsidRDefault="00F66E35" w:rsidP="00715198">
            <w:pPr>
              <w:rPr>
                <w:b/>
                <w:sz w:val="24"/>
                <w:szCs w:val="24"/>
              </w:rPr>
            </w:pPr>
          </w:p>
        </w:tc>
        <w:tc>
          <w:tcPr>
            <w:tcW w:w="1192" w:type="dxa"/>
            <w:vMerge/>
          </w:tcPr>
          <w:p w:rsidR="00F66E35" w:rsidRPr="00F66E35" w:rsidRDefault="00F66E35" w:rsidP="00715198">
            <w:pPr>
              <w:rPr>
                <w:b/>
                <w:sz w:val="24"/>
                <w:szCs w:val="24"/>
              </w:rPr>
            </w:pPr>
          </w:p>
        </w:tc>
        <w:tc>
          <w:tcPr>
            <w:tcW w:w="1192" w:type="dxa"/>
            <w:vMerge/>
          </w:tcPr>
          <w:p w:rsidR="00F66E35" w:rsidRPr="00F66E35" w:rsidRDefault="00F66E35" w:rsidP="00715198">
            <w:pPr>
              <w:rPr>
                <w:b/>
                <w:sz w:val="24"/>
                <w:szCs w:val="24"/>
              </w:rPr>
            </w:pPr>
          </w:p>
        </w:tc>
      </w:tr>
      <w:tr w:rsidR="000364F5" w:rsidTr="0011651D">
        <w:tc>
          <w:tcPr>
            <w:tcW w:w="1872" w:type="dxa"/>
            <w:vMerge w:val="restart"/>
          </w:tcPr>
          <w:p w:rsidR="000364F5" w:rsidRPr="004A3DDE" w:rsidRDefault="001A291E" w:rsidP="001A291E">
            <w:r>
              <w:t>Expected Result 1:</w:t>
            </w:r>
            <w:r w:rsidR="000364F5" w:rsidRPr="004A3DDE">
              <w:t xml:space="preserve"> Supported countries advance understanding of expectations on safeguards under the UNFCCC, and the UN-REDD conceptual framework on developing country-level approaches to safeguards</w:t>
            </w:r>
          </w:p>
        </w:tc>
        <w:tc>
          <w:tcPr>
            <w:tcW w:w="1659" w:type="dxa"/>
          </w:tcPr>
          <w:p w:rsidR="000364F5" w:rsidRPr="004A3DDE" w:rsidRDefault="000364F5" w:rsidP="00DC306D">
            <w:r w:rsidRPr="004A3DDE">
              <w:t>Collaborative work</w:t>
            </w:r>
            <w:r w:rsidR="001A291E">
              <w:t xml:space="preserve"> plan for C</w:t>
            </w:r>
            <w:r w:rsidRPr="004A3DDE">
              <w:t>ountry 1; workshop reports</w:t>
            </w:r>
          </w:p>
        </w:tc>
        <w:tc>
          <w:tcPr>
            <w:tcW w:w="1418" w:type="dxa"/>
            <w:vMerge w:val="restart"/>
            <w:tcBorders>
              <w:right w:val="single" w:sz="4" w:space="0" w:color="auto"/>
            </w:tcBorders>
          </w:tcPr>
          <w:p w:rsidR="000364F5" w:rsidRPr="004A3DDE" w:rsidRDefault="000364F5" w:rsidP="00DC306D">
            <w:r w:rsidRPr="004A3DDE">
              <w:t>All 3 agencies</w:t>
            </w:r>
          </w:p>
        </w:tc>
        <w:tc>
          <w:tcPr>
            <w:tcW w:w="1811" w:type="dxa"/>
            <w:tcBorders>
              <w:top w:val="single" w:sz="4" w:space="0" w:color="auto"/>
              <w:left w:val="single" w:sz="4" w:space="0" w:color="auto"/>
              <w:bottom w:val="nil"/>
              <w:right w:val="single" w:sz="4" w:space="0" w:color="auto"/>
            </w:tcBorders>
          </w:tcPr>
          <w:p w:rsidR="000364F5" w:rsidRPr="004A3DDE" w:rsidRDefault="000364F5" w:rsidP="00DC306D">
            <w:r w:rsidRPr="004A3DDE">
              <w:t>Initial capacity-building on safeguards, and refining/planning implementation of Targeted Support requests; work on national interpretation of safeguards and on risks &amp; benefits, including participatory workshop(s</w:t>
            </w:r>
          </w:p>
        </w:tc>
        <w:tc>
          <w:tcPr>
            <w:tcW w:w="558" w:type="dxa"/>
            <w:tcBorders>
              <w:left w:val="single" w:sz="4" w:space="0" w:color="auto"/>
            </w:tcBorders>
            <w:shd w:val="clear" w:color="auto" w:fill="548DD4" w:themeFill="text2" w:themeFillTint="99"/>
          </w:tcPr>
          <w:p w:rsidR="000364F5" w:rsidRPr="004A3DDE" w:rsidRDefault="000364F5"/>
        </w:tc>
        <w:tc>
          <w:tcPr>
            <w:tcW w:w="503" w:type="dxa"/>
            <w:shd w:val="clear" w:color="auto" w:fill="548DD4" w:themeFill="text2" w:themeFillTint="99"/>
          </w:tcPr>
          <w:p w:rsidR="000364F5" w:rsidRPr="004A3DDE" w:rsidRDefault="000364F5"/>
        </w:tc>
        <w:tc>
          <w:tcPr>
            <w:tcW w:w="503" w:type="dxa"/>
          </w:tcPr>
          <w:p w:rsidR="000364F5" w:rsidRPr="004A3DDE" w:rsidRDefault="000364F5"/>
        </w:tc>
        <w:tc>
          <w:tcPr>
            <w:tcW w:w="503" w:type="dxa"/>
          </w:tcPr>
          <w:p w:rsidR="000364F5" w:rsidRPr="004A3DDE" w:rsidRDefault="000364F5"/>
        </w:tc>
        <w:tc>
          <w:tcPr>
            <w:tcW w:w="561" w:type="dxa"/>
          </w:tcPr>
          <w:p w:rsidR="000364F5" w:rsidRPr="004A3DDE" w:rsidRDefault="000364F5"/>
        </w:tc>
        <w:tc>
          <w:tcPr>
            <w:tcW w:w="503" w:type="dxa"/>
          </w:tcPr>
          <w:p w:rsidR="000364F5" w:rsidRPr="004A3DDE" w:rsidRDefault="000364F5"/>
        </w:tc>
        <w:tc>
          <w:tcPr>
            <w:tcW w:w="503" w:type="dxa"/>
          </w:tcPr>
          <w:p w:rsidR="000364F5" w:rsidRPr="004A3DDE" w:rsidRDefault="000364F5"/>
        </w:tc>
        <w:tc>
          <w:tcPr>
            <w:tcW w:w="503" w:type="dxa"/>
          </w:tcPr>
          <w:p w:rsidR="000364F5" w:rsidRPr="004A3DDE" w:rsidRDefault="000364F5"/>
        </w:tc>
        <w:tc>
          <w:tcPr>
            <w:tcW w:w="1192" w:type="dxa"/>
          </w:tcPr>
          <w:p w:rsidR="000364F5" w:rsidRPr="004A3DDE" w:rsidRDefault="000364F5" w:rsidP="00715198">
            <w:pPr>
              <w:jc w:val="right"/>
            </w:pPr>
            <w:r w:rsidRPr="004A3DDE">
              <w:t>25,000</w:t>
            </w:r>
          </w:p>
        </w:tc>
        <w:tc>
          <w:tcPr>
            <w:tcW w:w="1192" w:type="dxa"/>
          </w:tcPr>
          <w:p w:rsidR="000364F5" w:rsidRPr="004A3DDE" w:rsidRDefault="000364F5" w:rsidP="00715198">
            <w:pPr>
              <w:jc w:val="right"/>
            </w:pPr>
          </w:p>
        </w:tc>
        <w:tc>
          <w:tcPr>
            <w:tcW w:w="1192" w:type="dxa"/>
          </w:tcPr>
          <w:p w:rsidR="000364F5" w:rsidRPr="004A3DDE" w:rsidRDefault="000364F5" w:rsidP="00715198">
            <w:pPr>
              <w:jc w:val="right"/>
            </w:pPr>
            <w:r w:rsidRPr="004A3DDE">
              <w:t>25,000</w:t>
            </w:r>
          </w:p>
        </w:tc>
      </w:tr>
      <w:tr w:rsidR="000364F5" w:rsidTr="0011651D">
        <w:tc>
          <w:tcPr>
            <w:tcW w:w="1872" w:type="dxa"/>
            <w:vMerge/>
          </w:tcPr>
          <w:p w:rsidR="000364F5" w:rsidRPr="004A3DDE" w:rsidRDefault="000364F5" w:rsidP="00DC306D"/>
        </w:tc>
        <w:tc>
          <w:tcPr>
            <w:tcW w:w="1659" w:type="dxa"/>
          </w:tcPr>
          <w:p w:rsidR="000364F5" w:rsidRPr="004A3DDE" w:rsidRDefault="000364F5" w:rsidP="00DC306D">
            <w:r w:rsidRPr="004A3DDE">
              <w:t>Country 2</w:t>
            </w:r>
          </w:p>
        </w:tc>
        <w:tc>
          <w:tcPr>
            <w:tcW w:w="1418" w:type="dxa"/>
            <w:vMerge/>
          </w:tcPr>
          <w:p w:rsidR="000364F5" w:rsidRPr="004A3DDE" w:rsidRDefault="000364F5" w:rsidP="00DC306D"/>
        </w:tc>
        <w:tc>
          <w:tcPr>
            <w:tcW w:w="1811" w:type="dxa"/>
            <w:vMerge w:val="restart"/>
            <w:tcBorders>
              <w:top w:val="nil"/>
            </w:tcBorders>
          </w:tcPr>
          <w:p w:rsidR="000364F5" w:rsidRPr="004A3DDE" w:rsidRDefault="000364F5" w:rsidP="00DC306D"/>
        </w:tc>
        <w:tc>
          <w:tcPr>
            <w:tcW w:w="558" w:type="dxa"/>
            <w:shd w:val="clear" w:color="auto" w:fill="548DD4" w:themeFill="text2" w:themeFillTint="99"/>
          </w:tcPr>
          <w:p w:rsidR="000364F5" w:rsidRPr="004A3DDE" w:rsidRDefault="000364F5"/>
        </w:tc>
        <w:tc>
          <w:tcPr>
            <w:tcW w:w="503" w:type="dxa"/>
            <w:shd w:val="clear" w:color="auto" w:fill="548DD4" w:themeFill="text2" w:themeFillTint="99"/>
          </w:tcPr>
          <w:p w:rsidR="000364F5" w:rsidRPr="004A3DDE" w:rsidRDefault="000364F5"/>
        </w:tc>
        <w:tc>
          <w:tcPr>
            <w:tcW w:w="503" w:type="dxa"/>
          </w:tcPr>
          <w:p w:rsidR="000364F5" w:rsidRPr="004A3DDE" w:rsidRDefault="000364F5"/>
        </w:tc>
        <w:tc>
          <w:tcPr>
            <w:tcW w:w="503" w:type="dxa"/>
          </w:tcPr>
          <w:p w:rsidR="000364F5" w:rsidRPr="004A3DDE" w:rsidRDefault="000364F5"/>
        </w:tc>
        <w:tc>
          <w:tcPr>
            <w:tcW w:w="561" w:type="dxa"/>
          </w:tcPr>
          <w:p w:rsidR="000364F5" w:rsidRPr="004A3DDE" w:rsidRDefault="000364F5"/>
        </w:tc>
        <w:tc>
          <w:tcPr>
            <w:tcW w:w="503" w:type="dxa"/>
          </w:tcPr>
          <w:p w:rsidR="000364F5" w:rsidRPr="004A3DDE" w:rsidRDefault="000364F5"/>
        </w:tc>
        <w:tc>
          <w:tcPr>
            <w:tcW w:w="503" w:type="dxa"/>
          </w:tcPr>
          <w:p w:rsidR="000364F5" w:rsidRPr="004A3DDE" w:rsidRDefault="000364F5"/>
        </w:tc>
        <w:tc>
          <w:tcPr>
            <w:tcW w:w="503" w:type="dxa"/>
          </w:tcPr>
          <w:p w:rsidR="000364F5" w:rsidRPr="004A3DDE" w:rsidRDefault="000364F5"/>
        </w:tc>
        <w:tc>
          <w:tcPr>
            <w:tcW w:w="1192" w:type="dxa"/>
          </w:tcPr>
          <w:p w:rsidR="000364F5" w:rsidRPr="004A3DDE" w:rsidRDefault="000364F5" w:rsidP="00715198">
            <w:pPr>
              <w:jc w:val="right"/>
            </w:pPr>
            <w:r w:rsidRPr="004A3DDE">
              <w:t>25,000</w:t>
            </w:r>
          </w:p>
        </w:tc>
        <w:tc>
          <w:tcPr>
            <w:tcW w:w="1192" w:type="dxa"/>
          </w:tcPr>
          <w:p w:rsidR="000364F5" w:rsidRPr="004A3DDE" w:rsidRDefault="000364F5" w:rsidP="00715198">
            <w:pPr>
              <w:jc w:val="right"/>
            </w:pPr>
          </w:p>
        </w:tc>
        <w:tc>
          <w:tcPr>
            <w:tcW w:w="1192" w:type="dxa"/>
          </w:tcPr>
          <w:p w:rsidR="000364F5" w:rsidRPr="004A3DDE" w:rsidRDefault="000364F5" w:rsidP="00715198">
            <w:pPr>
              <w:jc w:val="right"/>
            </w:pPr>
            <w:r w:rsidRPr="004A3DDE">
              <w:t>25,000</w:t>
            </w:r>
          </w:p>
        </w:tc>
      </w:tr>
      <w:tr w:rsidR="000364F5" w:rsidTr="0011651D">
        <w:tc>
          <w:tcPr>
            <w:tcW w:w="1872" w:type="dxa"/>
            <w:vMerge/>
          </w:tcPr>
          <w:p w:rsidR="000364F5" w:rsidRPr="004A3DDE" w:rsidRDefault="000364F5" w:rsidP="00DC306D"/>
        </w:tc>
        <w:tc>
          <w:tcPr>
            <w:tcW w:w="1659" w:type="dxa"/>
          </w:tcPr>
          <w:p w:rsidR="000364F5" w:rsidRPr="004A3DDE" w:rsidRDefault="000364F5" w:rsidP="00DC306D">
            <w:r w:rsidRPr="004A3DDE">
              <w:t>Country 3</w:t>
            </w:r>
          </w:p>
        </w:tc>
        <w:tc>
          <w:tcPr>
            <w:tcW w:w="1418" w:type="dxa"/>
            <w:vMerge/>
          </w:tcPr>
          <w:p w:rsidR="000364F5" w:rsidRPr="004A3DDE" w:rsidRDefault="000364F5" w:rsidP="00DC306D"/>
        </w:tc>
        <w:tc>
          <w:tcPr>
            <w:tcW w:w="1811" w:type="dxa"/>
            <w:vMerge/>
          </w:tcPr>
          <w:p w:rsidR="000364F5" w:rsidRPr="004A3DDE" w:rsidRDefault="000364F5" w:rsidP="00DC306D"/>
        </w:tc>
        <w:tc>
          <w:tcPr>
            <w:tcW w:w="558" w:type="dxa"/>
            <w:shd w:val="clear" w:color="auto" w:fill="FFFFFF" w:themeFill="background1"/>
          </w:tcPr>
          <w:p w:rsidR="000364F5" w:rsidRPr="004A3DDE" w:rsidRDefault="000364F5"/>
        </w:tc>
        <w:tc>
          <w:tcPr>
            <w:tcW w:w="503" w:type="dxa"/>
            <w:shd w:val="clear" w:color="auto" w:fill="FFFFFF" w:themeFill="background1"/>
          </w:tcPr>
          <w:p w:rsidR="000364F5" w:rsidRPr="004A3DDE" w:rsidRDefault="000364F5"/>
        </w:tc>
        <w:tc>
          <w:tcPr>
            <w:tcW w:w="503" w:type="dxa"/>
            <w:shd w:val="clear" w:color="auto" w:fill="4F81BD" w:themeFill="accent1"/>
          </w:tcPr>
          <w:p w:rsidR="000364F5" w:rsidRPr="004A3DDE" w:rsidRDefault="000364F5"/>
        </w:tc>
        <w:tc>
          <w:tcPr>
            <w:tcW w:w="503" w:type="dxa"/>
            <w:shd w:val="clear" w:color="auto" w:fill="4F81BD" w:themeFill="accent1"/>
          </w:tcPr>
          <w:p w:rsidR="000364F5" w:rsidRPr="004A3DDE" w:rsidRDefault="000364F5"/>
        </w:tc>
        <w:tc>
          <w:tcPr>
            <w:tcW w:w="561" w:type="dxa"/>
          </w:tcPr>
          <w:p w:rsidR="000364F5" w:rsidRPr="004A3DDE" w:rsidRDefault="000364F5"/>
        </w:tc>
        <w:tc>
          <w:tcPr>
            <w:tcW w:w="503" w:type="dxa"/>
          </w:tcPr>
          <w:p w:rsidR="000364F5" w:rsidRPr="004A3DDE" w:rsidRDefault="000364F5"/>
        </w:tc>
        <w:tc>
          <w:tcPr>
            <w:tcW w:w="503" w:type="dxa"/>
          </w:tcPr>
          <w:p w:rsidR="000364F5" w:rsidRPr="004A3DDE" w:rsidRDefault="000364F5"/>
        </w:tc>
        <w:tc>
          <w:tcPr>
            <w:tcW w:w="503" w:type="dxa"/>
          </w:tcPr>
          <w:p w:rsidR="000364F5" w:rsidRPr="004A3DDE" w:rsidRDefault="000364F5"/>
        </w:tc>
        <w:tc>
          <w:tcPr>
            <w:tcW w:w="1192" w:type="dxa"/>
          </w:tcPr>
          <w:p w:rsidR="000364F5" w:rsidRPr="004A3DDE" w:rsidRDefault="000364F5" w:rsidP="00715198">
            <w:pPr>
              <w:jc w:val="right"/>
            </w:pPr>
          </w:p>
        </w:tc>
        <w:tc>
          <w:tcPr>
            <w:tcW w:w="1192" w:type="dxa"/>
          </w:tcPr>
          <w:p w:rsidR="000364F5" w:rsidRPr="004A3DDE" w:rsidRDefault="000364F5" w:rsidP="00715198">
            <w:pPr>
              <w:jc w:val="right"/>
            </w:pPr>
            <w:r w:rsidRPr="004A3DDE">
              <w:t>25,000</w:t>
            </w:r>
          </w:p>
        </w:tc>
        <w:tc>
          <w:tcPr>
            <w:tcW w:w="1192" w:type="dxa"/>
          </w:tcPr>
          <w:p w:rsidR="000364F5" w:rsidRPr="004A3DDE" w:rsidRDefault="000364F5" w:rsidP="00715198">
            <w:pPr>
              <w:jc w:val="right"/>
            </w:pPr>
          </w:p>
        </w:tc>
      </w:tr>
      <w:tr w:rsidR="000364F5" w:rsidTr="0011651D">
        <w:tc>
          <w:tcPr>
            <w:tcW w:w="1872" w:type="dxa"/>
            <w:vMerge/>
          </w:tcPr>
          <w:p w:rsidR="000364F5" w:rsidRPr="004A3DDE" w:rsidRDefault="000364F5" w:rsidP="00DC306D"/>
        </w:tc>
        <w:tc>
          <w:tcPr>
            <w:tcW w:w="1659" w:type="dxa"/>
          </w:tcPr>
          <w:p w:rsidR="000364F5" w:rsidRPr="004A3DDE" w:rsidRDefault="000364F5" w:rsidP="00DC306D">
            <w:r w:rsidRPr="004A3DDE">
              <w:t>Country 4</w:t>
            </w:r>
          </w:p>
        </w:tc>
        <w:tc>
          <w:tcPr>
            <w:tcW w:w="1418" w:type="dxa"/>
            <w:vMerge/>
          </w:tcPr>
          <w:p w:rsidR="000364F5" w:rsidRPr="004A3DDE" w:rsidRDefault="000364F5" w:rsidP="00DC306D"/>
        </w:tc>
        <w:tc>
          <w:tcPr>
            <w:tcW w:w="1811" w:type="dxa"/>
            <w:vMerge/>
          </w:tcPr>
          <w:p w:rsidR="000364F5" w:rsidRPr="004A3DDE" w:rsidRDefault="000364F5" w:rsidP="00DC306D"/>
        </w:tc>
        <w:tc>
          <w:tcPr>
            <w:tcW w:w="558" w:type="dxa"/>
            <w:shd w:val="clear" w:color="auto" w:fill="FFFFFF" w:themeFill="background1"/>
          </w:tcPr>
          <w:p w:rsidR="000364F5" w:rsidRPr="004A3DDE" w:rsidRDefault="000364F5"/>
        </w:tc>
        <w:tc>
          <w:tcPr>
            <w:tcW w:w="503" w:type="dxa"/>
            <w:shd w:val="clear" w:color="auto" w:fill="FFFFFF" w:themeFill="background1"/>
          </w:tcPr>
          <w:p w:rsidR="000364F5" w:rsidRPr="004A3DDE" w:rsidRDefault="000364F5"/>
        </w:tc>
        <w:tc>
          <w:tcPr>
            <w:tcW w:w="503" w:type="dxa"/>
            <w:shd w:val="clear" w:color="auto" w:fill="4F81BD" w:themeFill="accent1"/>
          </w:tcPr>
          <w:p w:rsidR="000364F5" w:rsidRPr="004A3DDE" w:rsidRDefault="000364F5"/>
        </w:tc>
        <w:tc>
          <w:tcPr>
            <w:tcW w:w="503" w:type="dxa"/>
            <w:shd w:val="clear" w:color="auto" w:fill="4F81BD" w:themeFill="accent1"/>
          </w:tcPr>
          <w:p w:rsidR="000364F5" w:rsidRPr="004A3DDE" w:rsidRDefault="000364F5"/>
        </w:tc>
        <w:tc>
          <w:tcPr>
            <w:tcW w:w="561" w:type="dxa"/>
          </w:tcPr>
          <w:p w:rsidR="000364F5" w:rsidRPr="004A3DDE" w:rsidRDefault="000364F5"/>
        </w:tc>
        <w:tc>
          <w:tcPr>
            <w:tcW w:w="503" w:type="dxa"/>
          </w:tcPr>
          <w:p w:rsidR="000364F5" w:rsidRPr="004A3DDE" w:rsidRDefault="000364F5"/>
        </w:tc>
        <w:tc>
          <w:tcPr>
            <w:tcW w:w="503" w:type="dxa"/>
          </w:tcPr>
          <w:p w:rsidR="000364F5" w:rsidRPr="004A3DDE" w:rsidRDefault="000364F5"/>
        </w:tc>
        <w:tc>
          <w:tcPr>
            <w:tcW w:w="503" w:type="dxa"/>
          </w:tcPr>
          <w:p w:rsidR="000364F5" w:rsidRPr="004A3DDE" w:rsidRDefault="000364F5"/>
        </w:tc>
        <w:tc>
          <w:tcPr>
            <w:tcW w:w="1192" w:type="dxa"/>
          </w:tcPr>
          <w:p w:rsidR="000364F5" w:rsidRPr="004A3DDE" w:rsidRDefault="000364F5" w:rsidP="00715198">
            <w:pPr>
              <w:jc w:val="right"/>
            </w:pPr>
          </w:p>
        </w:tc>
        <w:tc>
          <w:tcPr>
            <w:tcW w:w="1192" w:type="dxa"/>
          </w:tcPr>
          <w:p w:rsidR="000364F5" w:rsidRPr="004A3DDE" w:rsidRDefault="000364F5" w:rsidP="00715198">
            <w:pPr>
              <w:jc w:val="right"/>
            </w:pPr>
            <w:r w:rsidRPr="004A3DDE">
              <w:t>25,000</w:t>
            </w:r>
          </w:p>
        </w:tc>
        <w:tc>
          <w:tcPr>
            <w:tcW w:w="1192" w:type="dxa"/>
          </w:tcPr>
          <w:p w:rsidR="000364F5" w:rsidRPr="004A3DDE" w:rsidRDefault="000364F5" w:rsidP="00715198">
            <w:pPr>
              <w:jc w:val="right"/>
            </w:pPr>
          </w:p>
        </w:tc>
      </w:tr>
      <w:tr w:rsidR="000364F5" w:rsidTr="0011651D">
        <w:tc>
          <w:tcPr>
            <w:tcW w:w="1872" w:type="dxa"/>
            <w:shd w:val="clear" w:color="auto" w:fill="D9D9D9" w:themeFill="background1" w:themeFillShade="D9"/>
          </w:tcPr>
          <w:p w:rsidR="00715198" w:rsidRPr="004A3DDE" w:rsidRDefault="00715198" w:rsidP="00DC306D">
            <w:pPr>
              <w:rPr>
                <w:b/>
              </w:rPr>
            </w:pPr>
            <w:r w:rsidRPr="004A3DDE">
              <w:rPr>
                <w:b/>
              </w:rPr>
              <w:t>Sub-total</w:t>
            </w:r>
          </w:p>
        </w:tc>
        <w:tc>
          <w:tcPr>
            <w:tcW w:w="1659" w:type="dxa"/>
            <w:shd w:val="clear" w:color="auto" w:fill="D9D9D9" w:themeFill="background1" w:themeFillShade="D9"/>
          </w:tcPr>
          <w:p w:rsidR="00715198" w:rsidRPr="004A3DDE" w:rsidRDefault="00715198" w:rsidP="00DC306D">
            <w:pPr>
              <w:rPr>
                <w:b/>
              </w:rPr>
            </w:pPr>
          </w:p>
        </w:tc>
        <w:tc>
          <w:tcPr>
            <w:tcW w:w="1418" w:type="dxa"/>
            <w:shd w:val="clear" w:color="auto" w:fill="D9D9D9" w:themeFill="background1" w:themeFillShade="D9"/>
          </w:tcPr>
          <w:p w:rsidR="00715198" w:rsidRPr="004A3DDE" w:rsidRDefault="00715198" w:rsidP="00DC306D">
            <w:pPr>
              <w:rPr>
                <w:b/>
              </w:rPr>
            </w:pPr>
          </w:p>
        </w:tc>
        <w:tc>
          <w:tcPr>
            <w:tcW w:w="1811" w:type="dxa"/>
            <w:shd w:val="clear" w:color="auto" w:fill="D9D9D9" w:themeFill="background1" w:themeFillShade="D9"/>
          </w:tcPr>
          <w:p w:rsidR="00715198" w:rsidRPr="004A3DDE" w:rsidRDefault="00715198" w:rsidP="00DC306D">
            <w:pPr>
              <w:rPr>
                <w:b/>
              </w:rPr>
            </w:pPr>
          </w:p>
        </w:tc>
        <w:tc>
          <w:tcPr>
            <w:tcW w:w="558" w:type="dxa"/>
            <w:shd w:val="clear" w:color="auto" w:fill="D9D9D9" w:themeFill="background1" w:themeFillShade="D9"/>
          </w:tcPr>
          <w:p w:rsidR="00715198" w:rsidRPr="004A3DDE" w:rsidRDefault="00715198">
            <w:pPr>
              <w:rPr>
                <w:b/>
              </w:rPr>
            </w:pPr>
          </w:p>
        </w:tc>
        <w:tc>
          <w:tcPr>
            <w:tcW w:w="503" w:type="dxa"/>
            <w:shd w:val="clear" w:color="auto" w:fill="D9D9D9" w:themeFill="background1" w:themeFillShade="D9"/>
          </w:tcPr>
          <w:p w:rsidR="00715198" w:rsidRPr="004A3DDE" w:rsidRDefault="00715198">
            <w:pPr>
              <w:rPr>
                <w:b/>
              </w:rPr>
            </w:pPr>
          </w:p>
        </w:tc>
        <w:tc>
          <w:tcPr>
            <w:tcW w:w="503" w:type="dxa"/>
            <w:shd w:val="clear" w:color="auto" w:fill="D9D9D9" w:themeFill="background1" w:themeFillShade="D9"/>
          </w:tcPr>
          <w:p w:rsidR="00715198" w:rsidRPr="004A3DDE" w:rsidRDefault="00715198">
            <w:pPr>
              <w:rPr>
                <w:b/>
              </w:rPr>
            </w:pPr>
          </w:p>
        </w:tc>
        <w:tc>
          <w:tcPr>
            <w:tcW w:w="503" w:type="dxa"/>
            <w:shd w:val="clear" w:color="auto" w:fill="D9D9D9" w:themeFill="background1" w:themeFillShade="D9"/>
          </w:tcPr>
          <w:p w:rsidR="00715198" w:rsidRPr="004A3DDE" w:rsidRDefault="00715198">
            <w:pPr>
              <w:rPr>
                <w:b/>
              </w:rPr>
            </w:pPr>
          </w:p>
        </w:tc>
        <w:tc>
          <w:tcPr>
            <w:tcW w:w="561" w:type="dxa"/>
            <w:shd w:val="clear" w:color="auto" w:fill="D9D9D9" w:themeFill="background1" w:themeFillShade="D9"/>
          </w:tcPr>
          <w:p w:rsidR="00715198" w:rsidRPr="004A3DDE" w:rsidRDefault="00715198">
            <w:pPr>
              <w:rPr>
                <w:b/>
              </w:rPr>
            </w:pPr>
          </w:p>
        </w:tc>
        <w:tc>
          <w:tcPr>
            <w:tcW w:w="503" w:type="dxa"/>
            <w:shd w:val="clear" w:color="auto" w:fill="D9D9D9" w:themeFill="background1" w:themeFillShade="D9"/>
          </w:tcPr>
          <w:p w:rsidR="00715198" w:rsidRPr="004A3DDE" w:rsidRDefault="00715198">
            <w:pPr>
              <w:rPr>
                <w:b/>
              </w:rPr>
            </w:pPr>
          </w:p>
        </w:tc>
        <w:tc>
          <w:tcPr>
            <w:tcW w:w="503" w:type="dxa"/>
            <w:shd w:val="clear" w:color="auto" w:fill="D9D9D9" w:themeFill="background1" w:themeFillShade="D9"/>
          </w:tcPr>
          <w:p w:rsidR="00715198" w:rsidRPr="004A3DDE" w:rsidRDefault="00715198">
            <w:pPr>
              <w:rPr>
                <w:b/>
              </w:rPr>
            </w:pPr>
          </w:p>
        </w:tc>
        <w:tc>
          <w:tcPr>
            <w:tcW w:w="503" w:type="dxa"/>
            <w:shd w:val="clear" w:color="auto" w:fill="D9D9D9" w:themeFill="background1" w:themeFillShade="D9"/>
          </w:tcPr>
          <w:p w:rsidR="00715198" w:rsidRPr="004A3DDE" w:rsidRDefault="00715198">
            <w:pPr>
              <w:rPr>
                <w:b/>
              </w:rPr>
            </w:pPr>
          </w:p>
        </w:tc>
        <w:tc>
          <w:tcPr>
            <w:tcW w:w="1192" w:type="dxa"/>
            <w:shd w:val="clear" w:color="auto" w:fill="D9D9D9" w:themeFill="background1" w:themeFillShade="D9"/>
          </w:tcPr>
          <w:p w:rsidR="00715198" w:rsidRPr="004A3DDE" w:rsidRDefault="00715198" w:rsidP="00715198">
            <w:pPr>
              <w:jc w:val="right"/>
              <w:rPr>
                <w:b/>
              </w:rPr>
            </w:pPr>
            <w:r w:rsidRPr="004A3DDE">
              <w:rPr>
                <w:b/>
              </w:rPr>
              <w:t>50,000</w:t>
            </w:r>
          </w:p>
        </w:tc>
        <w:tc>
          <w:tcPr>
            <w:tcW w:w="1192" w:type="dxa"/>
            <w:shd w:val="clear" w:color="auto" w:fill="D9D9D9" w:themeFill="background1" w:themeFillShade="D9"/>
          </w:tcPr>
          <w:p w:rsidR="00715198" w:rsidRPr="004A3DDE" w:rsidRDefault="00715198" w:rsidP="00715198">
            <w:pPr>
              <w:jc w:val="right"/>
              <w:rPr>
                <w:b/>
              </w:rPr>
            </w:pPr>
            <w:r w:rsidRPr="004A3DDE">
              <w:rPr>
                <w:b/>
              </w:rPr>
              <w:t>50,000</w:t>
            </w:r>
          </w:p>
        </w:tc>
        <w:tc>
          <w:tcPr>
            <w:tcW w:w="1192" w:type="dxa"/>
            <w:shd w:val="clear" w:color="auto" w:fill="D9D9D9" w:themeFill="background1" w:themeFillShade="D9"/>
          </w:tcPr>
          <w:p w:rsidR="00715198" w:rsidRPr="004A3DDE" w:rsidRDefault="00715198" w:rsidP="00715198">
            <w:pPr>
              <w:jc w:val="right"/>
              <w:rPr>
                <w:b/>
              </w:rPr>
            </w:pPr>
            <w:r w:rsidRPr="004A3DDE">
              <w:rPr>
                <w:b/>
              </w:rPr>
              <w:t>100,000</w:t>
            </w:r>
          </w:p>
        </w:tc>
      </w:tr>
      <w:tr w:rsidR="0011651D" w:rsidTr="00556F48">
        <w:trPr>
          <w:cantSplit/>
        </w:trPr>
        <w:tc>
          <w:tcPr>
            <w:tcW w:w="1872" w:type="dxa"/>
            <w:vMerge w:val="restart"/>
            <w:shd w:val="clear" w:color="auto" w:fill="FFFFFF" w:themeFill="background1"/>
          </w:tcPr>
          <w:p w:rsidR="0011651D" w:rsidRPr="00715198" w:rsidRDefault="0011651D" w:rsidP="001A291E">
            <w:r w:rsidRPr="00F66E35">
              <w:lastRenderedPageBreak/>
              <w:t>Expected Result 2</w:t>
            </w:r>
            <w:r w:rsidR="001A291E">
              <w:t>:</w:t>
            </w:r>
            <w:r w:rsidRPr="00F66E35">
              <w:t xml:space="preserve"> Supported countries advance measures to promote and support safeguards</w:t>
            </w:r>
          </w:p>
        </w:tc>
        <w:tc>
          <w:tcPr>
            <w:tcW w:w="1659" w:type="dxa"/>
            <w:shd w:val="clear" w:color="auto" w:fill="FFFFFF" w:themeFill="background1"/>
          </w:tcPr>
          <w:p w:rsidR="0011651D" w:rsidRPr="00715198" w:rsidRDefault="0011651D" w:rsidP="00DC306D">
            <w:r w:rsidRPr="00F66E35">
              <w:t>PLR review for Country 1</w:t>
            </w:r>
          </w:p>
        </w:tc>
        <w:tc>
          <w:tcPr>
            <w:tcW w:w="1418" w:type="dxa"/>
            <w:tcBorders>
              <w:bottom w:val="nil"/>
            </w:tcBorders>
            <w:shd w:val="clear" w:color="auto" w:fill="FFFFFF" w:themeFill="background1"/>
          </w:tcPr>
          <w:p w:rsidR="0011651D" w:rsidRPr="00715198" w:rsidRDefault="0011651D" w:rsidP="00DC306D">
            <w:r w:rsidRPr="00F66E35">
              <w:t>All 3 agencies</w:t>
            </w:r>
          </w:p>
        </w:tc>
        <w:tc>
          <w:tcPr>
            <w:tcW w:w="1811" w:type="dxa"/>
            <w:tcBorders>
              <w:bottom w:val="nil"/>
            </w:tcBorders>
            <w:shd w:val="clear" w:color="auto" w:fill="FFFFFF" w:themeFill="background1"/>
          </w:tcPr>
          <w:p w:rsidR="0011651D" w:rsidRPr="00715198" w:rsidRDefault="0011651D" w:rsidP="00DC306D">
            <w:r w:rsidRPr="00F66E35">
              <w:t>Technical support to countries on developing Policies, Laws and Regulations (PLRs) relevant to REDD+ safeguards, through participative workshops and collaborative working sessions with national experts</w:t>
            </w:r>
          </w:p>
        </w:tc>
        <w:tc>
          <w:tcPr>
            <w:tcW w:w="558" w:type="dxa"/>
            <w:shd w:val="clear" w:color="auto" w:fill="FFFFFF" w:themeFill="background1"/>
          </w:tcPr>
          <w:p w:rsidR="0011651D" w:rsidRPr="00715198" w:rsidRDefault="0011651D"/>
        </w:tc>
        <w:tc>
          <w:tcPr>
            <w:tcW w:w="503" w:type="dxa"/>
            <w:shd w:val="clear" w:color="auto" w:fill="4F81BD" w:themeFill="accent1"/>
          </w:tcPr>
          <w:p w:rsidR="0011651D" w:rsidRPr="00715198" w:rsidRDefault="0011651D"/>
        </w:tc>
        <w:tc>
          <w:tcPr>
            <w:tcW w:w="503" w:type="dxa"/>
            <w:shd w:val="clear" w:color="auto" w:fill="4F81BD" w:themeFill="accent1"/>
          </w:tcPr>
          <w:p w:rsidR="0011651D" w:rsidRPr="00715198" w:rsidRDefault="0011651D"/>
        </w:tc>
        <w:tc>
          <w:tcPr>
            <w:tcW w:w="503" w:type="dxa"/>
            <w:shd w:val="clear" w:color="auto" w:fill="4F81BD" w:themeFill="accent1"/>
          </w:tcPr>
          <w:p w:rsidR="0011651D" w:rsidRPr="00715198" w:rsidRDefault="0011651D"/>
        </w:tc>
        <w:tc>
          <w:tcPr>
            <w:tcW w:w="561" w:type="dxa"/>
            <w:shd w:val="clear" w:color="auto" w:fill="FFFFFF" w:themeFill="background1"/>
          </w:tcPr>
          <w:p w:rsidR="0011651D" w:rsidRPr="00715198" w:rsidRDefault="0011651D"/>
        </w:tc>
        <w:tc>
          <w:tcPr>
            <w:tcW w:w="503" w:type="dxa"/>
            <w:shd w:val="clear" w:color="auto" w:fill="FFFFFF" w:themeFill="background1"/>
          </w:tcPr>
          <w:p w:rsidR="0011651D" w:rsidRPr="00715198" w:rsidRDefault="0011651D"/>
        </w:tc>
        <w:tc>
          <w:tcPr>
            <w:tcW w:w="503" w:type="dxa"/>
            <w:shd w:val="clear" w:color="auto" w:fill="FFFFFF" w:themeFill="background1"/>
          </w:tcPr>
          <w:p w:rsidR="0011651D" w:rsidRPr="00715198" w:rsidRDefault="0011651D"/>
        </w:tc>
        <w:tc>
          <w:tcPr>
            <w:tcW w:w="503" w:type="dxa"/>
            <w:shd w:val="clear" w:color="auto" w:fill="FFFFFF" w:themeFill="background1"/>
          </w:tcPr>
          <w:p w:rsidR="0011651D" w:rsidRPr="00715198" w:rsidRDefault="0011651D"/>
        </w:tc>
        <w:tc>
          <w:tcPr>
            <w:tcW w:w="1192" w:type="dxa"/>
            <w:shd w:val="clear" w:color="auto" w:fill="FFFFFF" w:themeFill="background1"/>
            <w:vAlign w:val="center"/>
          </w:tcPr>
          <w:p w:rsidR="0011651D" w:rsidRPr="005A0452" w:rsidRDefault="0011651D" w:rsidP="005A0452">
            <w:pPr>
              <w:jc w:val="right"/>
              <w:rPr>
                <w:rFonts w:ascii="Calibri" w:eastAsia="Times New Roman" w:hAnsi="Calibri" w:cs="Calibri"/>
                <w:bCs/>
                <w:color w:val="000000"/>
                <w:sz w:val="20"/>
                <w:szCs w:val="20"/>
              </w:rPr>
            </w:pPr>
            <w:r w:rsidRPr="005A0452">
              <w:rPr>
                <w:rFonts w:ascii="Calibri" w:eastAsia="Times New Roman" w:hAnsi="Calibri" w:cs="Calibri"/>
                <w:bCs/>
                <w:color w:val="000000"/>
                <w:sz w:val="20"/>
                <w:szCs w:val="20"/>
              </w:rPr>
              <w:t>125,000</w:t>
            </w:r>
          </w:p>
        </w:tc>
        <w:tc>
          <w:tcPr>
            <w:tcW w:w="1192" w:type="dxa"/>
            <w:shd w:val="clear" w:color="auto" w:fill="FFFFFF" w:themeFill="background1"/>
            <w:vAlign w:val="center"/>
          </w:tcPr>
          <w:p w:rsidR="0011651D" w:rsidRPr="005A0452" w:rsidRDefault="0011651D" w:rsidP="005A0452">
            <w:pPr>
              <w:jc w:val="right"/>
              <w:rPr>
                <w:rFonts w:ascii="Calibri" w:eastAsia="Times New Roman" w:hAnsi="Calibri" w:cs="Calibri"/>
                <w:bCs/>
                <w:color w:val="000000"/>
                <w:sz w:val="20"/>
                <w:szCs w:val="20"/>
              </w:rPr>
            </w:pPr>
            <w:r w:rsidRPr="005A0452">
              <w:rPr>
                <w:rFonts w:ascii="Calibri" w:eastAsia="Times New Roman" w:hAnsi="Calibri" w:cs="Calibri"/>
                <w:bCs/>
                <w:color w:val="000000"/>
                <w:sz w:val="20"/>
                <w:szCs w:val="20"/>
              </w:rPr>
              <w:t> </w:t>
            </w:r>
          </w:p>
        </w:tc>
        <w:tc>
          <w:tcPr>
            <w:tcW w:w="1192" w:type="dxa"/>
            <w:shd w:val="clear" w:color="auto" w:fill="FFFFFF" w:themeFill="background1"/>
            <w:vAlign w:val="center"/>
          </w:tcPr>
          <w:p w:rsidR="0011651D" w:rsidRPr="005A0452" w:rsidRDefault="0011651D" w:rsidP="005A0452">
            <w:pPr>
              <w:jc w:val="right"/>
              <w:rPr>
                <w:rFonts w:ascii="Calibri" w:eastAsia="Times New Roman" w:hAnsi="Calibri" w:cs="Calibri"/>
                <w:bCs/>
                <w:color w:val="000000"/>
                <w:sz w:val="20"/>
                <w:szCs w:val="20"/>
              </w:rPr>
            </w:pPr>
            <w:r w:rsidRPr="005A0452">
              <w:rPr>
                <w:rFonts w:ascii="Calibri" w:eastAsia="Times New Roman" w:hAnsi="Calibri" w:cs="Calibri"/>
                <w:bCs/>
                <w:color w:val="000000"/>
                <w:sz w:val="20"/>
                <w:szCs w:val="20"/>
              </w:rPr>
              <w:t>125,000</w:t>
            </w:r>
          </w:p>
        </w:tc>
      </w:tr>
      <w:tr w:rsidR="0011651D" w:rsidTr="00556F48">
        <w:tc>
          <w:tcPr>
            <w:tcW w:w="1872" w:type="dxa"/>
            <w:vMerge/>
            <w:shd w:val="clear" w:color="auto" w:fill="FFFFFF" w:themeFill="background1"/>
          </w:tcPr>
          <w:p w:rsidR="0011651D" w:rsidRPr="00F66E35" w:rsidRDefault="0011651D" w:rsidP="00DC306D"/>
        </w:tc>
        <w:tc>
          <w:tcPr>
            <w:tcW w:w="1659" w:type="dxa"/>
            <w:tcBorders>
              <w:right w:val="single" w:sz="4" w:space="0" w:color="auto"/>
            </w:tcBorders>
            <w:shd w:val="clear" w:color="auto" w:fill="FFFFFF" w:themeFill="background1"/>
          </w:tcPr>
          <w:p w:rsidR="0011651D" w:rsidRPr="005A0452" w:rsidRDefault="0011651D" w:rsidP="00DC306D">
            <w:r w:rsidRPr="005A0452">
              <w:t>Country 2</w:t>
            </w:r>
          </w:p>
        </w:tc>
        <w:tc>
          <w:tcPr>
            <w:tcW w:w="1418" w:type="dxa"/>
            <w:tcBorders>
              <w:top w:val="nil"/>
              <w:left w:val="single" w:sz="4" w:space="0" w:color="auto"/>
              <w:bottom w:val="nil"/>
              <w:right w:val="single" w:sz="4" w:space="0" w:color="auto"/>
            </w:tcBorders>
            <w:shd w:val="clear" w:color="auto" w:fill="FFFFFF" w:themeFill="background1"/>
          </w:tcPr>
          <w:p w:rsidR="0011651D" w:rsidRPr="00F66E35" w:rsidRDefault="0011651D" w:rsidP="00DC306D"/>
        </w:tc>
        <w:tc>
          <w:tcPr>
            <w:tcW w:w="1811" w:type="dxa"/>
            <w:tcBorders>
              <w:top w:val="nil"/>
              <w:left w:val="single" w:sz="4" w:space="0" w:color="auto"/>
              <w:bottom w:val="nil"/>
              <w:right w:val="single" w:sz="4" w:space="0" w:color="auto"/>
            </w:tcBorders>
            <w:shd w:val="clear" w:color="auto" w:fill="FFFFFF" w:themeFill="background1"/>
          </w:tcPr>
          <w:p w:rsidR="0011651D" w:rsidRPr="00F66E35" w:rsidRDefault="0011651D" w:rsidP="00DC306D"/>
        </w:tc>
        <w:tc>
          <w:tcPr>
            <w:tcW w:w="558" w:type="dxa"/>
            <w:tcBorders>
              <w:left w:val="single" w:sz="4" w:space="0" w:color="auto"/>
            </w:tcBorders>
            <w:shd w:val="clear" w:color="auto" w:fill="FFFFFF" w:themeFill="background1"/>
          </w:tcPr>
          <w:p w:rsidR="0011651D" w:rsidRPr="00715198" w:rsidRDefault="0011651D"/>
        </w:tc>
        <w:tc>
          <w:tcPr>
            <w:tcW w:w="503" w:type="dxa"/>
            <w:shd w:val="clear" w:color="auto" w:fill="4F81BD" w:themeFill="accent1"/>
          </w:tcPr>
          <w:p w:rsidR="0011651D" w:rsidRPr="00715198" w:rsidRDefault="0011651D"/>
        </w:tc>
        <w:tc>
          <w:tcPr>
            <w:tcW w:w="503" w:type="dxa"/>
            <w:shd w:val="clear" w:color="auto" w:fill="4F81BD" w:themeFill="accent1"/>
          </w:tcPr>
          <w:p w:rsidR="0011651D" w:rsidRPr="00715198" w:rsidRDefault="0011651D"/>
        </w:tc>
        <w:tc>
          <w:tcPr>
            <w:tcW w:w="503" w:type="dxa"/>
            <w:shd w:val="clear" w:color="auto" w:fill="4F81BD" w:themeFill="accent1"/>
          </w:tcPr>
          <w:p w:rsidR="0011651D" w:rsidRPr="00715198" w:rsidRDefault="0011651D"/>
        </w:tc>
        <w:tc>
          <w:tcPr>
            <w:tcW w:w="561" w:type="dxa"/>
            <w:shd w:val="clear" w:color="auto" w:fill="FFFFFF" w:themeFill="background1"/>
          </w:tcPr>
          <w:p w:rsidR="0011651D" w:rsidRPr="00715198" w:rsidRDefault="0011651D"/>
        </w:tc>
        <w:tc>
          <w:tcPr>
            <w:tcW w:w="503" w:type="dxa"/>
            <w:shd w:val="clear" w:color="auto" w:fill="FFFFFF" w:themeFill="background1"/>
          </w:tcPr>
          <w:p w:rsidR="0011651D" w:rsidRPr="00715198" w:rsidRDefault="0011651D"/>
        </w:tc>
        <w:tc>
          <w:tcPr>
            <w:tcW w:w="503" w:type="dxa"/>
            <w:shd w:val="clear" w:color="auto" w:fill="FFFFFF" w:themeFill="background1"/>
          </w:tcPr>
          <w:p w:rsidR="0011651D" w:rsidRPr="00715198" w:rsidRDefault="0011651D"/>
        </w:tc>
        <w:tc>
          <w:tcPr>
            <w:tcW w:w="503" w:type="dxa"/>
            <w:shd w:val="clear" w:color="auto" w:fill="FFFFFF" w:themeFill="background1"/>
          </w:tcPr>
          <w:p w:rsidR="0011651D" w:rsidRPr="00715198" w:rsidRDefault="0011651D"/>
        </w:tc>
        <w:tc>
          <w:tcPr>
            <w:tcW w:w="1192" w:type="dxa"/>
            <w:shd w:val="clear" w:color="auto" w:fill="FFFFFF" w:themeFill="background1"/>
            <w:vAlign w:val="center"/>
          </w:tcPr>
          <w:p w:rsidR="0011651D" w:rsidRPr="005A0452" w:rsidRDefault="0011651D" w:rsidP="005A0452">
            <w:pPr>
              <w:jc w:val="right"/>
              <w:rPr>
                <w:rFonts w:ascii="Calibri" w:eastAsia="Times New Roman" w:hAnsi="Calibri" w:cs="Calibri"/>
                <w:bCs/>
                <w:color w:val="000000"/>
                <w:sz w:val="20"/>
                <w:szCs w:val="20"/>
              </w:rPr>
            </w:pPr>
            <w:r w:rsidRPr="005A0452">
              <w:rPr>
                <w:rFonts w:ascii="Calibri" w:eastAsia="Times New Roman" w:hAnsi="Calibri" w:cs="Calibri"/>
                <w:bCs/>
                <w:color w:val="000000"/>
                <w:sz w:val="20"/>
                <w:szCs w:val="20"/>
              </w:rPr>
              <w:t>125,000</w:t>
            </w:r>
          </w:p>
        </w:tc>
        <w:tc>
          <w:tcPr>
            <w:tcW w:w="1192" w:type="dxa"/>
            <w:shd w:val="clear" w:color="auto" w:fill="FFFFFF" w:themeFill="background1"/>
            <w:vAlign w:val="center"/>
          </w:tcPr>
          <w:p w:rsidR="0011651D" w:rsidRPr="005A0452" w:rsidRDefault="0011651D" w:rsidP="005A0452">
            <w:pPr>
              <w:jc w:val="right"/>
              <w:rPr>
                <w:rFonts w:ascii="Calibri" w:eastAsia="Times New Roman" w:hAnsi="Calibri" w:cs="Calibri"/>
                <w:bCs/>
                <w:color w:val="000000"/>
                <w:sz w:val="20"/>
                <w:szCs w:val="20"/>
              </w:rPr>
            </w:pPr>
            <w:r w:rsidRPr="005A0452">
              <w:rPr>
                <w:rFonts w:ascii="Calibri" w:eastAsia="Times New Roman" w:hAnsi="Calibri" w:cs="Calibri"/>
                <w:bCs/>
                <w:color w:val="000000"/>
                <w:sz w:val="20"/>
                <w:szCs w:val="20"/>
              </w:rPr>
              <w:t> </w:t>
            </w:r>
          </w:p>
        </w:tc>
        <w:tc>
          <w:tcPr>
            <w:tcW w:w="1192" w:type="dxa"/>
            <w:shd w:val="clear" w:color="auto" w:fill="FFFFFF" w:themeFill="background1"/>
            <w:vAlign w:val="center"/>
          </w:tcPr>
          <w:p w:rsidR="0011651D" w:rsidRPr="005A0452" w:rsidRDefault="0011651D" w:rsidP="005A0452">
            <w:pPr>
              <w:jc w:val="right"/>
              <w:rPr>
                <w:rFonts w:ascii="Calibri" w:eastAsia="Times New Roman" w:hAnsi="Calibri" w:cs="Calibri"/>
                <w:bCs/>
                <w:color w:val="000000"/>
                <w:sz w:val="20"/>
                <w:szCs w:val="20"/>
              </w:rPr>
            </w:pPr>
            <w:r w:rsidRPr="005A0452">
              <w:rPr>
                <w:rFonts w:ascii="Calibri" w:eastAsia="Times New Roman" w:hAnsi="Calibri" w:cs="Calibri"/>
                <w:bCs/>
                <w:color w:val="000000"/>
                <w:sz w:val="20"/>
                <w:szCs w:val="20"/>
              </w:rPr>
              <w:t>125,000</w:t>
            </w:r>
          </w:p>
        </w:tc>
      </w:tr>
      <w:tr w:rsidR="0011651D" w:rsidTr="00556F48">
        <w:tc>
          <w:tcPr>
            <w:tcW w:w="1872" w:type="dxa"/>
            <w:vMerge/>
            <w:shd w:val="clear" w:color="auto" w:fill="FFFFFF" w:themeFill="background1"/>
          </w:tcPr>
          <w:p w:rsidR="0011651D" w:rsidRPr="00F66E35" w:rsidRDefault="0011651D" w:rsidP="00DC306D"/>
        </w:tc>
        <w:tc>
          <w:tcPr>
            <w:tcW w:w="1659" w:type="dxa"/>
            <w:tcBorders>
              <w:right w:val="single" w:sz="4" w:space="0" w:color="auto"/>
            </w:tcBorders>
            <w:shd w:val="clear" w:color="auto" w:fill="FFFFFF" w:themeFill="background1"/>
          </w:tcPr>
          <w:p w:rsidR="0011651D" w:rsidRPr="005A0452" w:rsidRDefault="0011651D" w:rsidP="00DC306D">
            <w:r w:rsidRPr="005A0452">
              <w:t>Country 3</w:t>
            </w:r>
          </w:p>
        </w:tc>
        <w:tc>
          <w:tcPr>
            <w:tcW w:w="1418" w:type="dxa"/>
            <w:tcBorders>
              <w:top w:val="nil"/>
              <w:left w:val="single" w:sz="4" w:space="0" w:color="auto"/>
              <w:bottom w:val="nil"/>
              <w:right w:val="single" w:sz="4" w:space="0" w:color="auto"/>
            </w:tcBorders>
            <w:shd w:val="clear" w:color="auto" w:fill="FFFFFF" w:themeFill="background1"/>
          </w:tcPr>
          <w:p w:rsidR="0011651D" w:rsidRPr="00F66E35" w:rsidRDefault="0011651D" w:rsidP="00DC306D"/>
        </w:tc>
        <w:tc>
          <w:tcPr>
            <w:tcW w:w="1811" w:type="dxa"/>
            <w:tcBorders>
              <w:top w:val="nil"/>
              <w:left w:val="single" w:sz="4" w:space="0" w:color="auto"/>
              <w:bottom w:val="nil"/>
              <w:right w:val="single" w:sz="4" w:space="0" w:color="auto"/>
            </w:tcBorders>
            <w:shd w:val="clear" w:color="auto" w:fill="FFFFFF" w:themeFill="background1"/>
          </w:tcPr>
          <w:p w:rsidR="0011651D" w:rsidRPr="00F66E35" w:rsidRDefault="0011651D" w:rsidP="00DC306D"/>
        </w:tc>
        <w:tc>
          <w:tcPr>
            <w:tcW w:w="558" w:type="dxa"/>
            <w:tcBorders>
              <w:left w:val="single" w:sz="4" w:space="0" w:color="auto"/>
            </w:tcBorders>
            <w:shd w:val="clear" w:color="auto" w:fill="FFFFFF" w:themeFill="background1"/>
          </w:tcPr>
          <w:p w:rsidR="0011651D" w:rsidRPr="00715198" w:rsidRDefault="0011651D"/>
        </w:tc>
        <w:tc>
          <w:tcPr>
            <w:tcW w:w="503" w:type="dxa"/>
            <w:shd w:val="clear" w:color="auto" w:fill="FFFFFF" w:themeFill="background1"/>
          </w:tcPr>
          <w:p w:rsidR="0011651D" w:rsidRPr="00715198" w:rsidRDefault="0011651D"/>
        </w:tc>
        <w:tc>
          <w:tcPr>
            <w:tcW w:w="503" w:type="dxa"/>
            <w:shd w:val="clear" w:color="auto" w:fill="FFFFFF" w:themeFill="background1"/>
          </w:tcPr>
          <w:p w:rsidR="0011651D" w:rsidRPr="00715198" w:rsidRDefault="0011651D"/>
        </w:tc>
        <w:tc>
          <w:tcPr>
            <w:tcW w:w="503" w:type="dxa"/>
            <w:shd w:val="clear" w:color="auto" w:fill="FFFFFF" w:themeFill="background1"/>
          </w:tcPr>
          <w:p w:rsidR="0011651D" w:rsidRPr="00715198" w:rsidRDefault="0011651D"/>
        </w:tc>
        <w:tc>
          <w:tcPr>
            <w:tcW w:w="561" w:type="dxa"/>
            <w:shd w:val="clear" w:color="auto" w:fill="FFFFFF" w:themeFill="background1"/>
          </w:tcPr>
          <w:p w:rsidR="0011651D" w:rsidRPr="00715198" w:rsidRDefault="0011651D"/>
        </w:tc>
        <w:tc>
          <w:tcPr>
            <w:tcW w:w="503" w:type="dxa"/>
            <w:shd w:val="clear" w:color="auto" w:fill="4F81BD" w:themeFill="accent1"/>
          </w:tcPr>
          <w:p w:rsidR="0011651D" w:rsidRPr="00715198" w:rsidRDefault="0011651D"/>
        </w:tc>
        <w:tc>
          <w:tcPr>
            <w:tcW w:w="503" w:type="dxa"/>
            <w:shd w:val="clear" w:color="auto" w:fill="4F81BD" w:themeFill="accent1"/>
          </w:tcPr>
          <w:p w:rsidR="0011651D" w:rsidRPr="00715198" w:rsidRDefault="0011651D"/>
        </w:tc>
        <w:tc>
          <w:tcPr>
            <w:tcW w:w="503" w:type="dxa"/>
            <w:shd w:val="clear" w:color="auto" w:fill="4F81BD" w:themeFill="accent1"/>
          </w:tcPr>
          <w:p w:rsidR="0011651D" w:rsidRPr="00715198" w:rsidRDefault="0011651D"/>
        </w:tc>
        <w:tc>
          <w:tcPr>
            <w:tcW w:w="1192" w:type="dxa"/>
            <w:shd w:val="clear" w:color="auto" w:fill="FFFFFF" w:themeFill="background1"/>
            <w:vAlign w:val="center"/>
          </w:tcPr>
          <w:p w:rsidR="0011651D" w:rsidRPr="005A0452" w:rsidRDefault="0011651D" w:rsidP="005A0452">
            <w:pPr>
              <w:jc w:val="right"/>
              <w:rPr>
                <w:rFonts w:ascii="Calibri" w:eastAsia="Times New Roman" w:hAnsi="Calibri" w:cs="Calibri"/>
                <w:bCs/>
                <w:color w:val="000000"/>
                <w:sz w:val="20"/>
                <w:szCs w:val="20"/>
              </w:rPr>
            </w:pPr>
            <w:r w:rsidRPr="005A0452">
              <w:rPr>
                <w:rFonts w:ascii="Calibri" w:eastAsia="Times New Roman" w:hAnsi="Calibri" w:cs="Calibri"/>
                <w:bCs/>
                <w:color w:val="000000"/>
                <w:sz w:val="20"/>
                <w:szCs w:val="20"/>
              </w:rPr>
              <w:t> </w:t>
            </w:r>
          </w:p>
        </w:tc>
        <w:tc>
          <w:tcPr>
            <w:tcW w:w="1192" w:type="dxa"/>
            <w:shd w:val="clear" w:color="auto" w:fill="FFFFFF" w:themeFill="background1"/>
            <w:vAlign w:val="center"/>
          </w:tcPr>
          <w:p w:rsidR="0011651D" w:rsidRPr="005A0452" w:rsidRDefault="0011651D" w:rsidP="005A0452">
            <w:pPr>
              <w:jc w:val="right"/>
              <w:rPr>
                <w:rFonts w:ascii="Calibri" w:eastAsia="Times New Roman" w:hAnsi="Calibri" w:cs="Calibri"/>
                <w:bCs/>
                <w:color w:val="000000"/>
                <w:sz w:val="20"/>
                <w:szCs w:val="20"/>
              </w:rPr>
            </w:pPr>
            <w:r w:rsidRPr="005A0452">
              <w:rPr>
                <w:rFonts w:ascii="Calibri" w:eastAsia="Times New Roman" w:hAnsi="Calibri" w:cs="Calibri"/>
                <w:bCs/>
                <w:color w:val="000000"/>
                <w:sz w:val="20"/>
                <w:szCs w:val="20"/>
              </w:rPr>
              <w:t>125,000</w:t>
            </w:r>
          </w:p>
        </w:tc>
        <w:tc>
          <w:tcPr>
            <w:tcW w:w="1192" w:type="dxa"/>
            <w:shd w:val="clear" w:color="auto" w:fill="FFFFFF" w:themeFill="background1"/>
            <w:vAlign w:val="center"/>
          </w:tcPr>
          <w:p w:rsidR="0011651D" w:rsidRPr="005A0452" w:rsidRDefault="0011651D" w:rsidP="005A0452">
            <w:pPr>
              <w:jc w:val="right"/>
              <w:rPr>
                <w:rFonts w:ascii="Calibri" w:eastAsia="Times New Roman" w:hAnsi="Calibri" w:cs="Calibri"/>
                <w:bCs/>
                <w:color w:val="000000"/>
                <w:sz w:val="20"/>
                <w:szCs w:val="20"/>
              </w:rPr>
            </w:pPr>
            <w:r w:rsidRPr="005A0452">
              <w:rPr>
                <w:rFonts w:ascii="Calibri" w:eastAsia="Times New Roman" w:hAnsi="Calibri" w:cs="Calibri"/>
                <w:bCs/>
                <w:color w:val="000000"/>
                <w:sz w:val="20"/>
                <w:szCs w:val="20"/>
              </w:rPr>
              <w:t>125,000</w:t>
            </w:r>
          </w:p>
        </w:tc>
      </w:tr>
      <w:tr w:rsidR="0011651D" w:rsidTr="00556F48">
        <w:tc>
          <w:tcPr>
            <w:tcW w:w="1872" w:type="dxa"/>
            <w:vMerge/>
            <w:shd w:val="clear" w:color="auto" w:fill="FFFFFF" w:themeFill="background1"/>
          </w:tcPr>
          <w:p w:rsidR="0011651D" w:rsidRPr="00F66E35" w:rsidRDefault="0011651D" w:rsidP="00DC306D"/>
        </w:tc>
        <w:tc>
          <w:tcPr>
            <w:tcW w:w="1659" w:type="dxa"/>
            <w:tcBorders>
              <w:right w:val="single" w:sz="4" w:space="0" w:color="auto"/>
            </w:tcBorders>
            <w:shd w:val="clear" w:color="auto" w:fill="FFFFFF" w:themeFill="background1"/>
          </w:tcPr>
          <w:p w:rsidR="0011651D" w:rsidRPr="005A0452" w:rsidRDefault="0011651D" w:rsidP="00DC306D">
            <w:r w:rsidRPr="005A0452">
              <w:t>Country 4</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11651D" w:rsidRPr="00F66E35" w:rsidRDefault="0011651D" w:rsidP="00DC306D"/>
        </w:tc>
        <w:tc>
          <w:tcPr>
            <w:tcW w:w="1811" w:type="dxa"/>
            <w:tcBorders>
              <w:top w:val="nil"/>
              <w:left w:val="single" w:sz="4" w:space="0" w:color="auto"/>
              <w:bottom w:val="single" w:sz="4" w:space="0" w:color="auto"/>
              <w:right w:val="single" w:sz="4" w:space="0" w:color="auto"/>
            </w:tcBorders>
            <w:shd w:val="clear" w:color="auto" w:fill="FFFFFF" w:themeFill="background1"/>
          </w:tcPr>
          <w:p w:rsidR="0011651D" w:rsidRPr="00F66E35" w:rsidRDefault="0011651D" w:rsidP="00DC306D"/>
        </w:tc>
        <w:tc>
          <w:tcPr>
            <w:tcW w:w="558" w:type="dxa"/>
            <w:tcBorders>
              <w:left w:val="single" w:sz="4" w:space="0" w:color="auto"/>
            </w:tcBorders>
            <w:shd w:val="clear" w:color="auto" w:fill="FFFFFF" w:themeFill="background1"/>
          </w:tcPr>
          <w:p w:rsidR="0011651D" w:rsidRPr="00715198" w:rsidRDefault="0011651D"/>
        </w:tc>
        <w:tc>
          <w:tcPr>
            <w:tcW w:w="503" w:type="dxa"/>
            <w:shd w:val="clear" w:color="auto" w:fill="FFFFFF" w:themeFill="background1"/>
          </w:tcPr>
          <w:p w:rsidR="0011651D" w:rsidRPr="00715198" w:rsidRDefault="0011651D"/>
        </w:tc>
        <w:tc>
          <w:tcPr>
            <w:tcW w:w="503" w:type="dxa"/>
            <w:shd w:val="clear" w:color="auto" w:fill="FFFFFF" w:themeFill="background1"/>
          </w:tcPr>
          <w:p w:rsidR="0011651D" w:rsidRPr="00715198" w:rsidRDefault="0011651D"/>
        </w:tc>
        <w:tc>
          <w:tcPr>
            <w:tcW w:w="503" w:type="dxa"/>
            <w:shd w:val="clear" w:color="auto" w:fill="FFFFFF" w:themeFill="background1"/>
          </w:tcPr>
          <w:p w:rsidR="0011651D" w:rsidRPr="00715198" w:rsidRDefault="0011651D"/>
        </w:tc>
        <w:tc>
          <w:tcPr>
            <w:tcW w:w="561" w:type="dxa"/>
            <w:shd w:val="clear" w:color="auto" w:fill="FFFFFF" w:themeFill="background1"/>
          </w:tcPr>
          <w:p w:rsidR="0011651D" w:rsidRPr="00715198" w:rsidRDefault="0011651D"/>
        </w:tc>
        <w:tc>
          <w:tcPr>
            <w:tcW w:w="503" w:type="dxa"/>
            <w:shd w:val="clear" w:color="auto" w:fill="4F81BD" w:themeFill="accent1"/>
          </w:tcPr>
          <w:p w:rsidR="0011651D" w:rsidRPr="00715198" w:rsidRDefault="0011651D"/>
        </w:tc>
        <w:tc>
          <w:tcPr>
            <w:tcW w:w="503" w:type="dxa"/>
            <w:shd w:val="clear" w:color="auto" w:fill="4F81BD" w:themeFill="accent1"/>
          </w:tcPr>
          <w:p w:rsidR="0011651D" w:rsidRPr="00715198" w:rsidRDefault="0011651D"/>
        </w:tc>
        <w:tc>
          <w:tcPr>
            <w:tcW w:w="503" w:type="dxa"/>
            <w:shd w:val="clear" w:color="auto" w:fill="4F81BD" w:themeFill="accent1"/>
          </w:tcPr>
          <w:p w:rsidR="0011651D" w:rsidRPr="00715198" w:rsidRDefault="0011651D"/>
        </w:tc>
        <w:tc>
          <w:tcPr>
            <w:tcW w:w="1192" w:type="dxa"/>
            <w:shd w:val="clear" w:color="auto" w:fill="FFFFFF" w:themeFill="background1"/>
            <w:vAlign w:val="center"/>
          </w:tcPr>
          <w:p w:rsidR="0011651D" w:rsidRPr="005A0452" w:rsidRDefault="0011651D" w:rsidP="005A0452">
            <w:pPr>
              <w:jc w:val="right"/>
              <w:rPr>
                <w:rFonts w:ascii="Calibri" w:eastAsia="Times New Roman" w:hAnsi="Calibri" w:cs="Calibri"/>
                <w:bCs/>
                <w:color w:val="000000"/>
                <w:sz w:val="20"/>
                <w:szCs w:val="20"/>
              </w:rPr>
            </w:pPr>
            <w:r w:rsidRPr="005A0452">
              <w:rPr>
                <w:rFonts w:ascii="Calibri" w:eastAsia="Times New Roman" w:hAnsi="Calibri" w:cs="Calibri"/>
                <w:bCs/>
                <w:color w:val="000000"/>
                <w:sz w:val="20"/>
                <w:szCs w:val="20"/>
              </w:rPr>
              <w:t> </w:t>
            </w:r>
          </w:p>
        </w:tc>
        <w:tc>
          <w:tcPr>
            <w:tcW w:w="1192" w:type="dxa"/>
            <w:shd w:val="clear" w:color="auto" w:fill="FFFFFF" w:themeFill="background1"/>
            <w:vAlign w:val="center"/>
          </w:tcPr>
          <w:p w:rsidR="0011651D" w:rsidRPr="005A0452" w:rsidRDefault="0011651D" w:rsidP="005A0452">
            <w:pPr>
              <w:jc w:val="right"/>
              <w:rPr>
                <w:rFonts w:ascii="Calibri" w:eastAsia="Times New Roman" w:hAnsi="Calibri" w:cs="Calibri"/>
                <w:bCs/>
                <w:color w:val="000000"/>
                <w:sz w:val="20"/>
                <w:szCs w:val="20"/>
              </w:rPr>
            </w:pPr>
            <w:r w:rsidRPr="005A0452">
              <w:rPr>
                <w:rFonts w:ascii="Calibri" w:eastAsia="Times New Roman" w:hAnsi="Calibri" w:cs="Calibri"/>
                <w:bCs/>
                <w:color w:val="000000"/>
                <w:sz w:val="20"/>
                <w:szCs w:val="20"/>
              </w:rPr>
              <w:t>125,000</w:t>
            </w:r>
          </w:p>
        </w:tc>
        <w:tc>
          <w:tcPr>
            <w:tcW w:w="1192" w:type="dxa"/>
            <w:shd w:val="clear" w:color="auto" w:fill="FFFFFF" w:themeFill="background1"/>
            <w:vAlign w:val="center"/>
          </w:tcPr>
          <w:p w:rsidR="0011651D" w:rsidRPr="005A0452" w:rsidRDefault="0011651D" w:rsidP="005A0452">
            <w:pPr>
              <w:jc w:val="right"/>
              <w:rPr>
                <w:rFonts w:ascii="Calibri" w:eastAsia="Times New Roman" w:hAnsi="Calibri" w:cs="Calibri"/>
                <w:bCs/>
                <w:color w:val="000000"/>
                <w:sz w:val="20"/>
                <w:szCs w:val="20"/>
              </w:rPr>
            </w:pPr>
            <w:r w:rsidRPr="005A0452">
              <w:rPr>
                <w:rFonts w:ascii="Calibri" w:eastAsia="Times New Roman" w:hAnsi="Calibri" w:cs="Calibri"/>
                <w:bCs/>
                <w:color w:val="000000"/>
                <w:sz w:val="20"/>
                <w:szCs w:val="20"/>
              </w:rPr>
              <w:t>125,000</w:t>
            </w:r>
          </w:p>
        </w:tc>
      </w:tr>
      <w:tr w:rsidR="004A3DDE" w:rsidTr="001A291E">
        <w:tc>
          <w:tcPr>
            <w:tcW w:w="1872" w:type="dxa"/>
            <w:tcBorders>
              <w:bottom w:val="single" w:sz="4" w:space="0" w:color="auto"/>
            </w:tcBorders>
            <w:shd w:val="clear" w:color="auto" w:fill="D9D9D9" w:themeFill="background1" w:themeFillShade="D9"/>
          </w:tcPr>
          <w:p w:rsidR="005A0452" w:rsidRPr="005A0452" w:rsidRDefault="005A0452" w:rsidP="00DC306D">
            <w:pPr>
              <w:rPr>
                <w:b/>
              </w:rPr>
            </w:pPr>
            <w:r w:rsidRPr="005A0452">
              <w:rPr>
                <w:b/>
              </w:rPr>
              <w:t>Sub-total</w:t>
            </w:r>
          </w:p>
        </w:tc>
        <w:tc>
          <w:tcPr>
            <w:tcW w:w="1659" w:type="dxa"/>
            <w:shd w:val="clear" w:color="auto" w:fill="D9D9D9" w:themeFill="background1" w:themeFillShade="D9"/>
          </w:tcPr>
          <w:p w:rsidR="005A0452" w:rsidRPr="005A0452" w:rsidRDefault="005A0452" w:rsidP="00DC306D">
            <w:pPr>
              <w:rPr>
                <w:b/>
              </w:rPr>
            </w:pPr>
          </w:p>
        </w:tc>
        <w:tc>
          <w:tcPr>
            <w:tcW w:w="1418" w:type="dxa"/>
            <w:tcBorders>
              <w:top w:val="single" w:sz="4" w:space="0" w:color="auto"/>
            </w:tcBorders>
            <w:shd w:val="clear" w:color="auto" w:fill="D9D9D9" w:themeFill="background1" w:themeFillShade="D9"/>
          </w:tcPr>
          <w:p w:rsidR="005A0452" w:rsidRPr="005A0452" w:rsidRDefault="005A0452" w:rsidP="00DC306D">
            <w:pPr>
              <w:rPr>
                <w:b/>
              </w:rPr>
            </w:pPr>
          </w:p>
        </w:tc>
        <w:tc>
          <w:tcPr>
            <w:tcW w:w="1811" w:type="dxa"/>
            <w:tcBorders>
              <w:top w:val="single" w:sz="4" w:space="0" w:color="auto"/>
            </w:tcBorders>
            <w:shd w:val="clear" w:color="auto" w:fill="D9D9D9" w:themeFill="background1" w:themeFillShade="D9"/>
          </w:tcPr>
          <w:p w:rsidR="005A0452" w:rsidRPr="005A0452" w:rsidRDefault="005A0452" w:rsidP="00DC306D">
            <w:pPr>
              <w:rPr>
                <w:b/>
              </w:rPr>
            </w:pPr>
          </w:p>
        </w:tc>
        <w:tc>
          <w:tcPr>
            <w:tcW w:w="558" w:type="dxa"/>
            <w:shd w:val="clear" w:color="auto" w:fill="D9D9D9" w:themeFill="background1" w:themeFillShade="D9"/>
          </w:tcPr>
          <w:p w:rsidR="005A0452" w:rsidRPr="005A0452" w:rsidRDefault="005A0452" w:rsidP="00DC306D">
            <w:pPr>
              <w:rPr>
                <w:b/>
              </w:rPr>
            </w:pPr>
          </w:p>
        </w:tc>
        <w:tc>
          <w:tcPr>
            <w:tcW w:w="503" w:type="dxa"/>
            <w:shd w:val="clear" w:color="auto" w:fill="D9D9D9" w:themeFill="background1" w:themeFillShade="D9"/>
          </w:tcPr>
          <w:p w:rsidR="005A0452" w:rsidRPr="005A0452" w:rsidRDefault="005A0452" w:rsidP="00DC306D">
            <w:pPr>
              <w:rPr>
                <w:b/>
              </w:rPr>
            </w:pPr>
          </w:p>
        </w:tc>
        <w:tc>
          <w:tcPr>
            <w:tcW w:w="503" w:type="dxa"/>
            <w:shd w:val="clear" w:color="auto" w:fill="D9D9D9" w:themeFill="background1" w:themeFillShade="D9"/>
          </w:tcPr>
          <w:p w:rsidR="005A0452" w:rsidRPr="005A0452" w:rsidRDefault="005A0452" w:rsidP="00DC306D">
            <w:pPr>
              <w:rPr>
                <w:b/>
              </w:rPr>
            </w:pPr>
          </w:p>
        </w:tc>
        <w:tc>
          <w:tcPr>
            <w:tcW w:w="503" w:type="dxa"/>
            <w:shd w:val="clear" w:color="auto" w:fill="D9D9D9" w:themeFill="background1" w:themeFillShade="D9"/>
          </w:tcPr>
          <w:p w:rsidR="005A0452" w:rsidRPr="005A0452" w:rsidRDefault="005A0452" w:rsidP="00DC306D">
            <w:pPr>
              <w:rPr>
                <w:b/>
              </w:rPr>
            </w:pPr>
          </w:p>
        </w:tc>
        <w:tc>
          <w:tcPr>
            <w:tcW w:w="561" w:type="dxa"/>
            <w:shd w:val="clear" w:color="auto" w:fill="D9D9D9" w:themeFill="background1" w:themeFillShade="D9"/>
          </w:tcPr>
          <w:p w:rsidR="005A0452" w:rsidRPr="005A0452" w:rsidRDefault="005A0452" w:rsidP="00DC306D">
            <w:pPr>
              <w:rPr>
                <w:b/>
              </w:rPr>
            </w:pPr>
          </w:p>
        </w:tc>
        <w:tc>
          <w:tcPr>
            <w:tcW w:w="503" w:type="dxa"/>
            <w:shd w:val="clear" w:color="auto" w:fill="D9D9D9" w:themeFill="background1" w:themeFillShade="D9"/>
          </w:tcPr>
          <w:p w:rsidR="005A0452" w:rsidRPr="005A0452" w:rsidRDefault="005A0452" w:rsidP="00DC306D">
            <w:pPr>
              <w:rPr>
                <w:b/>
              </w:rPr>
            </w:pPr>
          </w:p>
        </w:tc>
        <w:tc>
          <w:tcPr>
            <w:tcW w:w="503" w:type="dxa"/>
            <w:shd w:val="clear" w:color="auto" w:fill="D9D9D9" w:themeFill="background1" w:themeFillShade="D9"/>
          </w:tcPr>
          <w:p w:rsidR="005A0452" w:rsidRPr="005A0452" w:rsidRDefault="005A0452" w:rsidP="00DC306D">
            <w:pPr>
              <w:rPr>
                <w:b/>
              </w:rPr>
            </w:pPr>
          </w:p>
        </w:tc>
        <w:tc>
          <w:tcPr>
            <w:tcW w:w="503" w:type="dxa"/>
            <w:shd w:val="clear" w:color="auto" w:fill="D9D9D9" w:themeFill="background1" w:themeFillShade="D9"/>
          </w:tcPr>
          <w:p w:rsidR="005A0452" w:rsidRPr="005A0452" w:rsidRDefault="005A0452" w:rsidP="00DC306D">
            <w:pPr>
              <w:rPr>
                <w:b/>
              </w:rPr>
            </w:pPr>
          </w:p>
        </w:tc>
        <w:tc>
          <w:tcPr>
            <w:tcW w:w="1192" w:type="dxa"/>
            <w:shd w:val="clear" w:color="auto" w:fill="D9D9D9" w:themeFill="background1" w:themeFillShade="D9"/>
            <w:vAlign w:val="center"/>
          </w:tcPr>
          <w:p w:rsidR="005A0452" w:rsidRPr="00556F48" w:rsidRDefault="005A0452" w:rsidP="005A0452">
            <w:pPr>
              <w:jc w:val="right"/>
              <w:rPr>
                <w:rFonts w:ascii="Calibri" w:eastAsia="Times New Roman" w:hAnsi="Calibri" w:cs="Calibri"/>
                <w:b/>
                <w:bCs/>
                <w:color w:val="000000"/>
                <w:sz w:val="20"/>
                <w:szCs w:val="20"/>
              </w:rPr>
            </w:pPr>
            <w:r w:rsidRPr="00556F48">
              <w:rPr>
                <w:rFonts w:ascii="Calibri" w:eastAsia="Times New Roman" w:hAnsi="Calibri" w:cs="Calibri"/>
                <w:b/>
                <w:bCs/>
                <w:color w:val="000000"/>
                <w:sz w:val="20"/>
                <w:szCs w:val="20"/>
              </w:rPr>
              <w:t>250,000</w:t>
            </w:r>
          </w:p>
        </w:tc>
        <w:tc>
          <w:tcPr>
            <w:tcW w:w="1192" w:type="dxa"/>
            <w:shd w:val="clear" w:color="auto" w:fill="D9D9D9" w:themeFill="background1" w:themeFillShade="D9"/>
            <w:vAlign w:val="center"/>
          </w:tcPr>
          <w:p w:rsidR="005A0452" w:rsidRPr="00556F48" w:rsidRDefault="005A0452" w:rsidP="005A0452">
            <w:pPr>
              <w:jc w:val="right"/>
              <w:rPr>
                <w:rFonts w:ascii="Calibri" w:eastAsia="Times New Roman" w:hAnsi="Calibri" w:cs="Calibri"/>
                <w:b/>
                <w:bCs/>
                <w:color w:val="000000"/>
                <w:sz w:val="20"/>
                <w:szCs w:val="20"/>
              </w:rPr>
            </w:pPr>
            <w:r w:rsidRPr="00556F48">
              <w:rPr>
                <w:rFonts w:ascii="Calibri" w:eastAsia="Times New Roman" w:hAnsi="Calibri" w:cs="Calibri"/>
                <w:b/>
                <w:bCs/>
                <w:color w:val="000000"/>
                <w:sz w:val="20"/>
                <w:szCs w:val="20"/>
              </w:rPr>
              <w:t>250,000</w:t>
            </w:r>
          </w:p>
        </w:tc>
        <w:tc>
          <w:tcPr>
            <w:tcW w:w="1192" w:type="dxa"/>
            <w:shd w:val="clear" w:color="auto" w:fill="D9D9D9" w:themeFill="background1" w:themeFillShade="D9"/>
            <w:vAlign w:val="center"/>
          </w:tcPr>
          <w:p w:rsidR="005A0452" w:rsidRPr="00556F48" w:rsidRDefault="005A0452" w:rsidP="005A0452">
            <w:pPr>
              <w:jc w:val="right"/>
              <w:rPr>
                <w:rFonts w:ascii="Calibri" w:eastAsia="Times New Roman" w:hAnsi="Calibri" w:cs="Calibri"/>
                <w:b/>
                <w:bCs/>
                <w:color w:val="000000"/>
                <w:sz w:val="20"/>
                <w:szCs w:val="20"/>
              </w:rPr>
            </w:pPr>
            <w:r w:rsidRPr="00556F48">
              <w:rPr>
                <w:rFonts w:ascii="Calibri" w:eastAsia="Times New Roman" w:hAnsi="Calibri" w:cs="Calibri"/>
                <w:b/>
                <w:bCs/>
                <w:color w:val="000000"/>
                <w:sz w:val="20"/>
                <w:szCs w:val="20"/>
              </w:rPr>
              <w:t>500,000</w:t>
            </w:r>
          </w:p>
        </w:tc>
      </w:tr>
      <w:tr w:rsidR="00556F48" w:rsidTr="001A291E">
        <w:trPr>
          <w:cantSplit/>
        </w:trPr>
        <w:tc>
          <w:tcPr>
            <w:tcW w:w="187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556F48" w:rsidRPr="00715198" w:rsidRDefault="00556F48" w:rsidP="001A291E">
            <w:r w:rsidRPr="005A0452">
              <w:t>Expected Result 3</w:t>
            </w:r>
            <w:r w:rsidR="001A291E">
              <w:t xml:space="preserve">: </w:t>
            </w:r>
            <w:r w:rsidRPr="005A0452">
              <w:t>Supported countries advance the design and implementation of the safeguard information system on how safeguards are addressed/</w:t>
            </w:r>
            <w:r>
              <w:t xml:space="preserve"> </w:t>
            </w:r>
            <w:r w:rsidRPr="005A0452">
              <w:t>respected, guided by the UN-REDD Programme approach</w:t>
            </w:r>
          </w:p>
        </w:tc>
        <w:tc>
          <w:tcPr>
            <w:tcW w:w="1659" w:type="dxa"/>
            <w:tcBorders>
              <w:left w:val="single" w:sz="4" w:space="0" w:color="auto"/>
            </w:tcBorders>
            <w:shd w:val="clear" w:color="auto" w:fill="FFFFFF" w:themeFill="background1"/>
          </w:tcPr>
          <w:p w:rsidR="00556F48" w:rsidRPr="00715198" w:rsidRDefault="00556F48" w:rsidP="00DC306D">
            <w:r w:rsidRPr="005A0452">
              <w:t>Elements of SIS for Country 1</w:t>
            </w:r>
          </w:p>
        </w:tc>
        <w:tc>
          <w:tcPr>
            <w:tcW w:w="1418" w:type="dxa"/>
            <w:tcBorders>
              <w:bottom w:val="nil"/>
            </w:tcBorders>
            <w:shd w:val="clear" w:color="auto" w:fill="FFFFFF" w:themeFill="background1"/>
          </w:tcPr>
          <w:p w:rsidR="00556F48" w:rsidRPr="00715198" w:rsidRDefault="00556F48" w:rsidP="00DC306D">
            <w:r w:rsidRPr="005A0452">
              <w:t>All 3 agencies</w:t>
            </w:r>
          </w:p>
        </w:tc>
        <w:tc>
          <w:tcPr>
            <w:tcW w:w="1811" w:type="dxa"/>
            <w:tcBorders>
              <w:bottom w:val="nil"/>
            </w:tcBorders>
            <w:shd w:val="clear" w:color="auto" w:fill="FFFFFF" w:themeFill="background1"/>
          </w:tcPr>
          <w:p w:rsidR="00556F48" w:rsidRPr="00715198" w:rsidRDefault="00556F48" w:rsidP="00DC306D">
            <w:r w:rsidRPr="005A0452">
              <w:t>Technical support to countries on developing a safeguard information system (SIS), through participative workshops and collaborative working sessions with national experts</w:t>
            </w:r>
          </w:p>
        </w:tc>
        <w:tc>
          <w:tcPr>
            <w:tcW w:w="558" w:type="dxa"/>
            <w:shd w:val="clear" w:color="auto" w:fill="FFFFFF" w:themeFill="background1"/>
          </w:tcPr>
          <w:p w:rsidR="00556F48" w:rsidRPr="00715198" w:rsidRDefault="00556F48" w:rsidP="00DC306D"/>
        </w:tc>
        <w:tc>
          <w:tcPr>
            <w:tcW w:w="503" w:type="dxa"/>
            <w:shd w:val="clear" w:color="auto" w:fill="4F81BD" w:themeFill="accent1"/>
          </w:tcPr>
          <w:p w:rsidR="00556F48" w:rsidRPr="00715198" w:rsidRDefault="00556F48" w:rsidP="00DC306D"/>
        </w:tc>
        <w:tc>
          <w:tcPr>
            <w:tcW w:w="503" w:type="dxa"/>
            <w:shd w:val="clear" w:color="auto" w:fill="4F81BD" w:themeFill="accent1"/>
          </w:tcPr>
          <w:p w:rsidR="00556F48" w:rsidRPr="00715198" w:rsidRDefault="00556F48" w:rsidP="00DC306D"/>
        </w:tc>
        <w:tc>
          <w:tcPr>
            <w:tcW w:w="503" w:type="dxa"/>
            <w:shd w:val="clear" w:color="auto" w:fill="4F81BD" w:themeFill="accent1"/>
          </w:tcPr>
          <w:p w:rsidR="00556F48" w:rsidRPr="00715198" w:rsidRDefault="00556F48" w:rsidP="00DC306D"/>
        </w:tc>
        <w:tc>
          <w:tcPr>
            <w:tcW w:w="561" w:type="dxa"/>
            <w:shd w:val="clear" w:color="auto" w:fill="FFFFFF" w:themeFill="background1"/>
          </w:tcPr>
          <w:p w:rsidR="00556F48" w:rsidRPr="00715198" w:rsidRDefault="00556F48" w:rsidP="00DC306D"/>
        </w:tc>
        <w:tc>
          <w:tcPr>
            <w:tcW w:w="503" w:type="dxa"/>
            <w:shd w:val="clear" w:color="auto" w:fill="FFFFFF" w:themeFill="background1"/>
          </w:tcPr>
          <w:p w:rsidR="00556F48" w:rsidRPr="00715198" w:rsidRDefault="00556F48" w:rsidP="00DC306D"/>
        </w:tc>
        <w:tc>
          <w:tcPr>
            <w:tcW w:w="503" w:type="dxa"/>
            <w:shd w:val="clear" w:color="auto" w:fill="FFFFFF" w:themeFill="background1"/>
          </w:tcPr>
          <w:p w:rsidR="00556F48" w:rsidRPr="00715198" w:rsidRDefault="00556F48" w:rsidP="00DC306D"/>
        </w:tc>
        <w:tc>
          <w:tcPr>
            <w:tcW w:w="503" w:type="dxa"/>
            <w:shd w:val="clear" w:color="auto" w:fill="FFFFFF" w:themeFill="background1"/>
          </w:tcPr>
          <w:p w:rsidR="00556F48" w:rsidRPr="00715198" w:rsidRDefault="00556F48" w:rsidP="00DC306D"/>
        </w:tc>
        <w:tc>
          <w:tcPr>
            <w:tcW w:w="1192" w:type="dxa"/>
            <w:shd w:val="clear" w:color="auto" w:fill="FFFFFF" w:themeFill="background1"/>
            <w:vAlign w:val="center"/>
          </w:tcPr>
          <w:p w:rsidR="00556F48" w:rsidRPr="005A0452" w:rsidRDefault="00556F48" w:rsidP="005A0452">
            <w:pPr>
              <w:jc w:val="right"/>
              <w:rPr>
                <w:rFonts w:ascii="Calibri" w:eastAsia="Times New Roman" w:hAnsi="Calibri" w:cs="Calibri"/>
                <w:bCs/>
                <w:color w:val="000000"/>
                <w:sz w:val="20"/>
                <w:szCs w:val="20"/>
              </w:rPr>
            </w:pPr>
            <w:r w:rsidRPr="005A0452">
              <w:rPr>
                <w:rFonts w:ascii="Calibri" w:eastAsia="Times New Roman" w:hAnsi="Calibri" w:cs="Calibri"/>
                <w:bCs/>
                <w:color w:val="000000"/>
                <w:sz w:val="20"/>
                <w:szCs w:val="20"/>
              </w:rPr>
              <w:t>125,000</w:t>
            </w:r>
          </w:p>
        </w:tc>
        <w:tc>
          <w:tcPr>
            <w:tcW w:w="1192" w:type="dxa"/>
            <w:shd w:val="clear" w:color="auto" w:fill="FFFFFF" w:themeFill="background1"/>
            <w:vAlign w:val="center"/>
          </w:tcPr>
          <w:p w:rsidR="00556F48" w:rsidRPr="005A0452" w:rsidRDefault="00556F48" w:rsidP="005A0452">
            <w:pPr>
              <w:jc w:val="right"/>
              <w:rPr>
                <w:rFonts w:ascii="Calibri" w:eastAsia="Times New Roman" w:hAnsi="Calibri" w:cs="Calibri"/>
                <w:bCs/>
                <w:color w:val="000000"/>
                <w:sz w:val="20"/>
                <w:szCs w:val="20"/>
              </w:rPr>
            </w:pPr>
            <w:r w:rsidRPr="005A0452">
              <w:rPr>
                <w:rFonts w:ascii="Calibri" w:eastAsia="Times New Roman" w:hAnsi="Calibri" w:cs="Calibri"/>
                <w:bCs/>
                <w:color w:val="000000"/>
                <w:sz w:val="20"/>
                <w:szCs w:val="20"/>
              </w:rPr>
              <w:t> </w:t>
            </w:r>
          </w:p>
        </w:tc>
        <w:tc>
          <w:tcPr>
            <w:tcW w:w="1192" w:type="dxa"/>
            <w:shd w:val="clear" w:color="auto" w:fill="FFFFFF" w:themeFill="background1"/>
            <w:vAlign w:val="center"/>
          </w:tcPr>
          <w:p w:rsidR="00556F48" w:rsidRPr="005A0452" w:rsidRDefault="00556F48" w:rsidP="005A0452">
            <w:pPr>
              <w:jc w:val="right"/>
              <w:rPr>
                <w:rFonts w:ascii="Calibri" w:eastAsia="Times New Roman" w:hAnsi="Calibri" w:cs="Calibri"/>
                <w:bCs/>
                <w:color w:val="000000"/>
                <w:sz w:val="20"/>
                <w:szCs w:val="20"/>
              </w:rPr>
            </w:pPr>
            <w:r w:rsidRPr="005A0452">
              <w:rPr>
                <w:rFonts w:ascii="Calibri" w:eastAsia="Times New Roman" w:hAnsi="Calibri" w:cs="Calibri"/>
                <w:bCs/>
                <w:color w:val="000000"/>
                <w:sz w:val="20"/>
                <w:szCs w:val="20"/>
              </w:rPr>
              <w:t>125,000</w:t>
            </w:r>
          </w:p>
        </w:tc>
      </w:tr>
      <w:tr w:rsidR="00556F48" w:rsidTr="001A291E">
        <w:tc>
          <w:tcPr>
            <w:tcW w:w="1872" w:type="dxa"/>
            <w:vMerge/>
            <w:tcBorders>
              <w:left w:val="single" w:sz="4" w:space="0" w:color="auto"/>
              <w:bottom w:val="single" w:sz="4" w:space="0" w:color="auto"/>
              <w:right w:val="single" w:sz="4" w:space="0" w:color="auto"/>
            </w:tcBorders>
            <w:shd w:val="clear" w:color="auto" w:fill="FFFFFF" w:themeFill="background1"/>
          </w:tcPr>
          <w:p w:rsidR="00556F48" w:rsidRPr="005A0452" w:rsidRDefault="00556F48" w:rsidP="00DC306D"/>
        </w:tc>
        <w:tc>
          <w:tcPr>
            <w:tcW w:w="1659" w:type="dxa"/>
            <w:tcBorders>
              <w:left w:val="single" w:sz="4" w:space="0" w:color="auto"/>
              <w:right w:val="single" w:sz="4" w:space="0" w:color="auto"/>
            </w:tcBorders>
            <w:shd w:val="clear" w:color="auto" w:fill="FFFFFF" w:themeFill="background1"/>
          </w:tcPr>
          <w:p w:rsidR="00556F48" w:rsidRPr="005A0452" w:rsidRDefault="00556F48" w:rsidP="00DC306D">
            <w:r w:rsidRPr="005A0452">
              <w:t>Country 2</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556F48" w:rsidRPr="005A0452" w:rsidRDefault="00556F48" w:rsidP="00DC306D"/>
        </w:tc>
        <w:tc>
          <w:tcPr>
            <w:tcW w:w="1811" w:type="dxa"/>
            <w:tcBorders>
              <w:top w:val="nil"/>
              <w:left w:val="single" w:sz="4" w:space="0" w:color="auto"/>
              <w:bottom w:val="single" w:sz="4" w:space="0" w:color="auto"/>
              <w:right w:val="single" w:sz="4" w:space="0" w:color="auto"/>
            </w:tcBorders>
            <w:shd w:val="clear" w:color="auto" w:fill="FFFFFF" w:themeFill="background1"/>
          </w:tcPr>
          <w:p w:rsidR="00556F48" w:rsidRPr="005A0452" w:rsidRDefault="00556F48" w:rsidP="00DC306D"/>
        </w:tc>
        <w:tc>
          <w:tcPr>
            <w:tcW w:w="558" w:type="dxa"/>
            <w:tcBorders>
              <w:left w:val="single" w:sz="4" w:space="0" w:color="auto"/>
            </w:tcBorders>
            <w:shd w:val="clear" w:color="auto" w:fill="FFFFFF" w:themeFill="background1"/>
          </w:tcPr>
          <w:p w:rsidR="00556F48" w:rsidRPr="00715198" w:rsidRDefault="00556F48" w:rsidP="00DC306D"/>
        </w:tc>
        <w:tc>
          <w:tcPr>
            <w:tcW w:w="503" w:type="dxa"/>
            <w:shd w:val="clear" w:color="auto" w:fill="FFFFFF" w:themeFill="background1"/>
          </w:tcPr>
          <w:p w:rsidR="00556F48" w:rsidRPr="00715198" w:rsidRDefault="00556F48" w:rsidP="00DC306D"/>
        </w:tc>
        <w:tc>
          <w:tcPr>
            <w:tcW w:w="503" w:type="dxa"/>
            <w:shd w:val="clear" w:color="auto" w:fill="FFFFFF" w:themeFill="background1"/>
          </w:tcPr>
          <w:p w:rsidR="00556F48" w:rsidRPr="00715198" w:rsidRDefault="00556F48" w:rsidP="00DC306D"/>
        </w:tc>
        <w:tc>
          <w:tcPr>
            <w:tcW w:w="503" w:type="dxa"/>
            <w:shd w:val="clear" w:color="auto" w:fill="FFFFFF" w:themeFill="background1"/>
          </w:tcPr>
          <w:p w:rsidR="00556F48" w:rsidRPr="00715198" w:rsidRDefault="00556F48" w:rsidP="00DC306D"/>
        </w:tc>
        <w:tc>
          <w:tcPr>
            <w:tcW w:w="561" w:type="dxa"/>
            <w:shd w:val="clear" w:color="auto" w:fill="FFFFFF" w:themeFill="background1"/>
          </w:tcPr>
          <w:p w:rsidR="00556F48" w:rsidRPr="00715198" w:rsidRDefault="00556F48" w:rsidP="00DC306D"/>
        </w:tc>
        <w:tc>
          <w:tcPr>
            <w:tcW w:w="503" w:type="dxa"/>
            <w:shd w:val="clear" w:color="auto" w:fill="4F81BD" w:themeFill="accent1"/>
          </w:tcPr>
          <w:p w:rsidR="00556F48" w:rsidRPr="00715198" w:rsidRDefault="00556F48" w:rsidP="00DC306D"/>
        </w:tc>
        <w:tc>
          <w:tcPr>
            <w:tcW w:w="503" w:type="dxa"/>
            <w:shd w:val="clear" w:color="auto" w:fill="4F81BD" w:themeFill="accent1"/>
          </w:tcPr>
          <w:p w:rsidR="00556F48" w:rsidRPr="00715198" w:rsidRDefault="00556F48" w:rsidP="00DC306D"/>
        </w:tc>
        <w:tc>
          <w:tcPr>
            <w:tcW w:w="503" w:type="dxa"/>
            <w:shd w:val="clear" w:color="auto" w:fill="4F81BD" w:themeFill="accent1"/>
          </w:tcPr>
          <w:p w:rsidR="00556F48" w:rsidRPr="00715198" w:rsidRDefault="00556F48" w:rsidP="00DC306D"/>
        </w:tc>
        <w:tc>
          <w:tcPr>
            <w:tcW w:w="1192" w:type="dxa"/>
            <w:shd w:val="clear" w:color="auto" w:fill="FFFFFF" w:themeFill="background1"/>
            <w:vAlign w:val="center"/>
          </w:tcPr>
          <w:p w:rsidR="00556F48" w:rsidRPr="005A0452" w:rsidRDefault="00556F48" w:rsidP="005A0452">
            <w:pPr>
              <w:jc w:val="right"/>
              <w:rPr>
                <w:rFonts w:ascii="Calibri" w:eastAsia="Times New Roman" w:hAnsi="Calibri" w:cs="Calibri"/>
                <w:bCs/>
                <w:color w:val="000000"/>
                <w:sz w:val="20"/>
                <w:szCs w:val="20"/>
              </w:rPr>
            </w:pPr>
            <w:r w:rsidRPr="005A0452">
              <w:rPr>
                <w:rFonts w:ascii="Calibri" w:eastAsia="Times New Roman" w:hAnsi="Calibri" w:cs="Calibri"/>
                <w:bCs/>
                <w:color w:val="000000"/>
                <w:sz w:val="20"/>
                <w:szCs w:val="20"/>
              </w:rPr>
              <w:t>125,000</w:t>
            </w:r>
          </w:p>
        </w:tc>
        <w:tc>
          <w:tcPr>
            <w:tcW w:w="1192" w:type="dxa"/>
            <w:shd w:val="clear" w:color="auto" w:fill="FFFFFF" w:themeFill="background1"/>
            <w:vAlign w:val="center"/>
          </w:tcPr>
          <w:p w:rsidR="00556F48" w:rsidRPr="005A0452" w:rsidRDefault="00556F48" w:rsidP="005A0452">
            <w:pPr>
              <w:jc w:val="right"/>
              <w:rPr>
                <w:rFonts w:ascii="Calibri" w:eastAsia="Times New Roman" w:hAnsi="Calibri" w:cs="Calibri"/>
                <w:bCs/>
                <w:color w:val="000000"/>
                <w:sz w:val="20"/>
                <w:szCs w:val="20"/>
              </w:rPr>
            </w:pPr>
            <w:r w:rsidRPr="005A0452">
              <w:rPr>
                <w:rFonts w:ascii="Calibri" w:eastAsia="Times New Roman" w:hAnsi="Calibri" w:cs="Calibri"/>
                <w:bCs/>
                <w:color w:val="000000"/>
                <w:sz w:val="20"/>
                <w:szCs w:val="20"/>
              </w:rPr>
              <w:t> </w:t>
            </w:r>
          </w:p>
        </w:tc>
        <w:tc>
          <w:tcPr>
            <w:tcW w:w="1192" w:type="dxa"/>
            <w:shd w:val="clear" w:color="auto" w:fill="FFFFFF" w:themeFill="background1"/>
            <w:vAlign w:val="center"/>
          </w:tcPr>
          <w:p w:rsidR="00556F48" w:rsidRPr="005A0452" w:rsidRDefault="00556F48" w:rsidP="005A0452">
            <w:pPr>
              <w:jc w:val="right"/>
              <w:rPr>
                <w:rFonts w:ascii="Calibri" w:eastAsia="Times New Roman" w:hAnsi="Calibri" w:cs="Calibri"/>
                <w:bCs/>
                <w:color w:val="000000"/>
                <w:sz w:val="20"/>
                <w:szCs w:val="20"/>
              </w:rPr>
            </w:pPr>
            <w:r w:rsidRPr="005A0452">
              <w:rPr>
                <w:rFonts w:ascii="Calibri" w:eastAsia="Times New Roman" w:hAnsi="Calibri" w:cs="Calibri"/>
                <w:bCs/>
                <w:color w:val="000000"/>
                <w:sz w:val="20"/>
                <w:szCs w:val="20"/>
              </w:rPr>
              <w:t>125,000</w:t>
            </w:r>
          </w:p>
        </w:tc>
      </w:tr>
      <w:tr w:rsidR="00556F48" w:rsidTr="001A291E">
        <w:tc>
          <w:tcPr>
            <w:tcW w:w="1872" w:type="dxa"/>
            <w:vMerge/>
            <w:tcBorders>
              <w:left w:val="single" w:sz="4" w:space="0" w:color="auto"/>
              <w:bottom w:val="single" w:sz="4" w:space="0" w:color="auto"/>
              <w:right w:val="single" w:sz="4" w:space="0" w:color="auto"/>
            </w:tcBorders>
            <w:shd w:val="clear" w:color="auto" w:fill="FFFFFF" w:themeFill="background1"/>
          </w:tcPr>
          <w:p w:rsidR="00556F48" w:rsidRPr="005A0452" w:rsidRDefault="00556F48" w:rsidP="00DC306D"/>
        </w:tc>
        <w:tc>
          <w:tcPr>
            <w:tcW w:w="1659" w:type="dxa"/>
            <w:tcBorders>
              <w:left w:val="single" w:sz="4" w:space="0" w:color="auto"/>
              <w:right w:val="single" w:sz="4" w:space="0" w:color="auto"/>
            </w:tcBorders>
            <w:shd w:val="clear" w:color="auto" w:fill="FFFFFF" w:themeFill="background1"/>
          </w:tcPr>
          <w:p w:rsidR="00556F48" w:rsidRPr="005A0452" w:rsidRDefault="00556F48" w:rsidP="00DC306D">
            <w:r w:rsidRPr="005A0452">
              <w:t>Country 3</w:t>
            </w:r>
          </w:p>
        </w:tc>
        <w:tc>
          <w:tcPr>
            <w:tcW w:w="1418" w:type="dxa"/>
            <w:tcBorders>
              <w:top w:val="single" w:sz="4" w:space="0" w:color="auto"/>
              <w:left w:val="single" w:sz="4" w:space="0" w:color="auto"/>
              <w:bottom w:val="nil"/>
              <w:right w:val="single" w:sz="4" w:space="0" w:color="auto"/>
            </w:tcBorders>
            <w:shd w:val="clear" w:color="auto" w:fill="FFFFFF" w:themeFill="background1"/>
          </w:tcPr>
          <w:p w:rsidR="00556F48" w:rsidRPr="005A0452" w:rsidRDefault="00556F48" w:rsidP="00DC306D"/>
        </w:tc>
        <w:tc>
          <w:tcPr>
            <w:tcW w:w="1811" w:type="dxa"/>
            <w:tcBorders>
              <w:top w:val="single" w:sz="4" w:space="0" w:color="auto"/>
              <w:left w:val="single" w:sz="4" w:space="0" w:color="auto"/>
              <w:bottom w:val="nil"/>
              <w:right w:val="single" w:sz="4" w:space="0" w:color="auto"/>
            </w:tcBorders>
            <w:shd w:val="clear" w:color="auto" w:fill="FFFFFF" w:themeFill="background1"/>
          </w:tcPr>
          <w:p w:rsidR="00556F48" w:rsidRPr="005A0452" w:rsidRDefault="00556F48" w:rsidP="00DC306D"/>
        </w:tc>
        <w:tc>
          <w:tcPr>
            <w:tcW w:w="558" w:type="dxa"/>
            <w:tcBorders>
              <w:left w:val="single" w:sz="4" w:space="0" w:color="auto"/>
            </w:tcBorders>
            <w:shd w:val="clear" w:color="auto" w:fill="FFFFFF" w:themeFill="background1"/>
          </w:tcPr>
          <w:p w:rsidR="00556F48" w:rsidRPr="00715198" w:rsidRDefault="00556F48" w:rsidP="00DC306D"/>
        </w:tc>
        <w:tc>
          <w:tcPr>
            <w:tcW w:w="503" w:type="dxa"/>
            <w:shd w:val="clear" w:color="auto" w:fill="FFFFFF" w:themeFill="background1"/>
          </w:tcPr>
          <w:p w:rsidR="00556F48" w:rsidRPr="00715198" w:rsidRDefault="00556F48" w:rsidP="00DC306D"/>
        </w:tc>
        <w:tc>
          <w:tcPr>
            <w:tcW w:w="503" w:type="dxa"/>
            <w:shd w:val="clear" w:color="auto" w:fill="FFFFFF" w:themeFill="background1"/>
          </w:tcPr>
          <w:p w:rsidR="00556F48" w:rsidRPr="00715198" w:rsidRDefault="00556F48" w:rsidP="00DC306D"/>
        </w:tc>
        <w:tc>
          <w:tcPr>
            <w:tcW w:w="503" w:type="dxa"/>
            <w:shd w:val="clear" w:color="auto" w:fill="FFFFFF" w:themeFill="background1"/>
          </w:tcPr>
          <w:p w:rsidR="00556F48" w:rsidRPr="00715198" w:rsidRDefault="00556F48" w:rsidP="00DC306D"/>
        </w:tc>
        <w:tc>
          <w:tcPr>
            <w:tcW w:w="561" w:type="dxa"/>
            <w:shd w:val="clear" w:color="auto" w:fill="FFFFFF" w:themeFill="background1"/>
          </w:tcPr>
          <w:p w:rsidR="00556F48" w:rsidRPr="00715198" w:rsidRDefault="00556F48" w:rsidP="00DC306D"/>
        </w:tc>
        <w:tc>
          <w:tcPr>
            <w:tcW w:w="503" w:type="dxa"/>
            <w:shd w:val="clear" w:color="auto" w:fill="4F81BD" w:themeFill="accent1"/>
          </w:tcPr>
          <w:p w:rsidR="00556F48" w:rsidRPr="00715198" w:rsidRDefault="00556F48" w:rsidP="00DC306D"/>
        </w:tc>
        <w:tc>
          <w:tcPr>
            <w:tcW w:w="503" w:type="dxa"/>
            <w:shd w:val="clear" w:color="auto" w:fill="4F81BD" w:themeFill="accent1"/>
          </w:tcPr>
          <w:p w:rsidR="00556F48" w:rsidRPr="00715198" w:rsidRDefault="00556F48" w:rsidP="00DC306D"/>
        </w:tc>
        <w:tc>
          <w:tcPr>
            <w:tcW w:w="503" w:type="dxa"/>
            <w:shd w:val="clear" w:color="auto" w:fill="4F81BD" w:themeFill="accent1"/>
          </w:tcPr>
          <w:p w:rsidR="00556F48" w:rsidRPr="00715198" w:rsidRDefault="00556F48" w:rsidP="00DC306D"/>
        </w:tc>
        <w:tc>
          <w:tcPr>
            <w:tcW w:w="1192" w:type="dxa"/>
            <w:shd w:val="clear" w:color="auto" w:fill="FFFFFF" w:themeFill="background1"/>
            <w:vAlign w:val="center"/>
          </w:tcPr>
          <w:p w:rsidR="00556F48" w:rsidRPr="005A0452" w:rsidRDefault="00556F48" w:rsidP="005A0452">
            <w:pPr>
              <w:jc w:val="right"/>
              <w:rPr>
                <w:rFonts w:ascii="Calibri" w:eastAsia="Times New Roman" w:hAnsi="Calibri" w:cs="Calibri"/>
                <w:bCs/>
                <w:color w:val="000000"/>
                <w:sz w:val="20"/>
                <w:szCs w:val="20"/>
              </w:rPr>
            </w:pPr>
            <w:r w:rsidRPr="005A0452">
              <w:rPr>
                <w:rFonts w:ascii="Calibri" w:eastAsia="Times New Roman" w:hAnsi="Calibri" w:cs="Calibri"/>
                <w:bCs/>
                <w:color w:val="000000"/>
                <w:sz w:val="20"/>
                <w:szCs w:val="20"/>
              </w:rPr>
              <w:t> </w:t>
            </w:r>
          </w:p>
        </w:tc>
        <w:tc>
          <w:tcPr>
            <w:tcW w:w="1192" w:type="dxa"/>
            <w:shd w:val="clear" w:color="auto" w:fill="FFFFFF" w:themeFill="background1"/>
            <w:vAlign w:val="center"/>
          </w:tcPr>
          <w:p w:rsidR="00556F48" w:rsidRPr="005A0452" w:rsidRDefault="00556F48" w:rsidP="005A0452">
            <w:pPr>
              <w:jc w:val="right"/>
              <w:rPr>
                <w:rFonts w:ascii="Calibri" w:eastAsia="Times New Roman" w:hAnsi="Calibri" w:cs="Calibri"/>
                <w:bCs/>
                <w:color w:val="000000"/>
                <w:sz w:val="20"/>
                <w:szCs w:val="20"/>
              </w:rPr>
            </w:pPr>
            <w:r w:rsidRPr="005A0452">
              <w:rPr>
                <w:rFonts w:ascii="Calibri" w:eastAsia="Times New Roman" w:hAnsi="Calibri" w:cs="Calibri"/>
                <w:bCs/>
                <w:color w:val="000000"/>
                <w:sz w:val="20"/>
                <w:szCs w:val="20"/>
              </w:rPr>
              <w:t>125,000</w:t>
            </w:r>
          </w:p>
        </w:tc>
        <w:tc>
          <w:tcPr>
            <w:tcW w:w="1192" w:type="dxa"/>
            <w:shd w:val="clear" w:color="auto" w:fill="FFFFFF" w:themeFill="background1"/>
            <w:vAlign w:val="center"/>
          </w:tcPr>
          <w:p w:rsidR="00556F48" w:rsidRPr="005A0452" w:rsidRDefault="00556F48" w:rsidP="005A0452">
            <w:pPr>
              <w:jc w:val="right"/>
              <w:rPr>
                <w:rFonts w:ascii="Calibri" w:eastAsia="Times New Roman" w:hAnsi="Calibri" w:cs="Calibri"/>
                <w:bCs/>
                <w:color w:val="000000"/>
                <w:sz w:val="20"/>
                <w:szCs w:val="20"/>
              </w:rPr>
            </w:pPr>
            <w:r w:rsidRPr="005A0452">
              <w:rPr>
                <w:rFonts w:ascii="Calibri" w:eastAsia="Times New Roman" w:hAnsi="Calibri" w:cs="Calibri"/>
                <w:bCs/>
                <w:color w:val="000000"/>
                <w:sz w:val="20"/>
                <w:szCs w:val="20"/>
              </w:rPr>
              <w:t>125,000</w:t>
            </w:r>
          </w:p>
        </w:tc>
      </w:tr>
      <w:tr w:rsidR="00556F48" w:rsidTr="001A291E">
        <w:tc>
          <w:tcPr>
            <w:tcW w:w="1872" w:type="dxa"/>
            <w:vMerge/>
            <w:tcBorders>
              <w:left w:val="single" w:sz="4" w:space="0" w:color="auto"/>
              <w:bottom w:val="single" w:sz="4" w:space="0" w:color="auto"/>
              <w:right w:val="single" w:sz="4" w:space="0" w:color="auto"/>
            </w:tcBorders>
            <w:shd w:val="clear" w:color="auto" w:fill="FFFFFF" w:themeFill="background1"/>
          </w:tcPr>
          <w:p w:rsidR="00556F48" w:rsidRPr="005A0452" w:rsidRDefault="00556F48" w:rsidP="00DC306D"/>
        </w:tc>
        <w:tc>
          <w:tcPr>
            <w:tcW w:w="1659" w:type="dxa"/>
            <w:tcBorders>
              <w:left w:val="single" w:sz="4" w:space="0" w:color="auto"/>
              <w:right w:val="single" w:sz="4" w:space="0" w:color="auto"/>
            </w:tcBorders>
            <w:shd w:val="clear" w:color="auto" w:fill="FFFFFF" w:themeFill="background1"/>
          </w:tcPr>
          <w:p w:rsidR="00556F48" w:rsidRPr="005A0452" w:rsidRDefault="00556F48" w:rsidP="00DC306D">
            <w:r w:rsidRPr="005A0452">
              <w:t>Country 4</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556F48" w:rsidRPr="005A0452" w:rsidRDefault="00556F48" w:rsidP="00DC306D"/>
        </w:tc>
        <w:tc>
          <w:tcPr>
            <w:tcW w:w="1811" w:type="dxa"/>
            <w:tcBorders>
              <w:top w:val="nil"/>
              <w:left w:val="single" w:sz="4" w:space="0" w:color="auto"/>
              <w:bottom w:val="single" w:sz="4" w:space="0" w:color="auto"/>
              <w:right w:val="single" w:sz="4" w:space="0" w:color="auto"/>
            </w:tcBorders>
            <w:shd w:val="clear" w:color="auto" w:fill="FFFFFF" w:themeFill="background1"/>
          </w:tcPr>
          <w:p w:rsidR="00556F48" w:rsidRPr="005A0452" w:rsidRDefault="00556F48" w:rsidP="00DC306D"/>
        </w:tc>
        <w:tc>
          <w:tcPr>
            <w:tcW w:w="558" w:type="dxa"/>
            <w:tcBorders>
              <w:left w:val="single" w:sz="4" w:space="0" w:color="auto"/>
            </w:tcBorders>
            <w:shd w:val="clear" w:color="auto" w:fill="FFFFFF" w:themeFill="background1"/>
          </w:tcPr>
          <w:p w:rsidR="00556F48" w:rsidRPr="00715198" w:rsidRDefault="00556F48" w:rsidP="00DC306D"/>
        </w:tc>
        <w:tc>
          <w:tcPr>
            <w:tcW w:w="503" w:type="dxa"/>
            <w:shd w:val="clear" w:color="auto" w:fill="FFFFFF" w:themeFill="background1"/>
          </w:tcPr>
          <w:p w:rsidR="00556F48" w:rsidRPr="00715198" w:rsidRDefault="00556F48" w:rsidP="00DC306D"/>
        </w:tc>
        <w:tc>
          <w:tcPr>
            <w:tcW w:w="503" w:type="dxa"/>
            <w:shd w:val="clear" w:color="auto" w:fill="FFFFFF" w:themeFill="background1"/>
          </w:tcPr>
          <w:p w:rsidR="00556F48" w:rsidRPr="00715198" w:rsidRDefault="00556F48" w:rsidP="00DC306D"/>
        </w:tc>
        <w:tc>
          <w:tcPr>
            <w:tcW w:w="503" w:type="dxa"/>
            <w:shd w:val="clear" w:color="auto" w:fill="FFFFFF" w:themeFill="background1"/>
          </w:tcPr>
          <w:p w:rsidR="00556F48" w:rsidRPr="00715198" w:rsidRDefault="00556F48" w:rsidP="00DC306D"/>
        </w:tc>
        <w:tc>
          <w:tcPr>
            <w:tcW w:w="561" w:type="dxa"/>
            <w:shd w:val="clear" w:color="auto" w:fill="FFFFFF" w:themeFill="background1"/>
          </w:tcPr>
          <w:p w:rsidR="00556F48" w:rsidRPr="00715198" w:rsidRDefault="00556F48" w:rsidP="00DC306D"/>
        </w:tc>
        <w:tc>
          <w:tcPr>
            <w:tcW w:w="503" w:type="dxa"/>
            <w:shd w:val="clear" w:color="auto" w:fill="4F81BD" w:themeFill="accent1"/>
          </w:tcPr>
          <w:p w:rsidR="00556F48" w:rsidRPr="00715198" w:rsidRDefault="00556F48" w:rsidP="00DC306D"/>
        </w:tc>
        <w:tc>
          <w:tcPr>
            <w:tcW w:w="503" w:type="dxa"/>
            <w:shd w:val="clear" w:color="auto" w:fill="4F81BD" w:themeFill="accent1"/>
          </w:tcPr>
          <w:p w:rsidR="00556F48" w:rsidRPr="00715198" w:rsidRDefault="00556F48" w:rsidP="00DC306D"/>
        </w:tc>
        <w:tc>
          <w:tcPr>
            <w:tcW w:w="503" w:type="dxa"/>
            <w:shd w:val="clear" w:color="auto" w:fill="4F81BD" w:themeFill="accent1"/>
          </w:tcPr>
          <w:p w:rsidR="00556F48" w:rsidRPr="00715198" w:rsidRDefault="00556F48" w:rsidP="00DC306D"/>
        </w:tc>
        <w:tc>
          <w:tcPr>
            <w:tcW w:w="1192" w:type="dxa"/>
            <w:shd w:val="clear" w:color="auto" w:fill="FFFFFF" w:themeFill="background1"/>
            <w:vAlign w:val="center"/>
          </w:tcPr>
          <w:p w:rsidR="00556F48" w:rsidRPr="005A0452" w:rsidRDefault="00556F48" w:rsidP="005A0452">
            <w:pPr>
              <w:jc w:val="right"/>
              <w:rPr>
                <w:rFonts w:ascii="Calibri" w:eastAsia="Times New Roman" w:hAnsi="Calibri" w:cs="Calibri"/>
                <w:bCs/>
                <w:color w:val="000000"/>
                <w:sz w:val="20"/>
                <w:szCs w:val="20"/>
              </w:rPr>
            </w:pPr>
            <w:r w:rsidRPr="005A0452">
              <w:rPr>
                <w:rFonts w:ascii="Calibri" w:eastAsia="Times New Roman" w:hAnsi="Calibri" w:cs="Calibri"/>
                <w:bCs/>
                <w:color w:val="000000"/>
                <w:sz w:val="20"/>
                <w:szCs w:val="20"/>
              </w:rPr>
              <w:t> </w:t>
            </w:r>
          </w:p>
        </w:tc>
        <w:tc>
          <w:tcPr>
            <w:tcW w:w="1192" w:type="dxa"/>
            <w:shd w:val="clear" w:color="auto" w:fill="FFFFFF" w:themeFill="background1"/>
            <w:vAlign w:val="center"/>
          </w:tcPr>
          <w:p w:rsidR="00556F48" w:rsidRPr="005A0452" w:rsidRDefault="00556F48" w:rsidP="005A0452">
            <w:pPr>
              <w:jc w:val="right"/>
              <w:rPr>
                <w:rFonts w:ascii="Calibri" w:eastAsia="Times New Roman" w:hAnsi="Calibri" w:cs="Calibri"/>
                <w:bCs/>
                <w:color w:val="000000"/>
                <w:sz w:val="20"/>
                <w:szCs w:val="20"/>
              </w:rPr>
            </w:pPr>
            <w:r w:rsidRPr="005A0452">
              <w:rPr>
                <w:rFonts w:ascii="Calibri" w:eastAsia="Times New Roman" w:hAnsi="Calibri" w:cs="Calibri"/>
                <w:bCs/>
                <w:color w:val="000000"/>
                <w:sz w:val="20"/>
                <w:szCs w:val="20"/>
              </w:rPr>
              <w:t>125,000</w:t>
            </w:r>
          </w:p>
        </w:tc>
        <w:tc>
          <w:tcPr>
            <w:tcW w:w="1192" w:type="dxa"/>
            <w:shd w:val="clear" w:color="auto" w:fill="FFFFFF" w:themeFill="background1"/>
            <w:vAlign w:val="center"/>
          </w:tcPr>
          <w:p w:rsidR="00556F48" w:rsidRPr="005A0452" w:rsidRDefault="00556F48" w:rsidP="005A0452">
            <w:pPr>
              <w:jc w:val="right"/>
              <w:rPr>
                <w:rFonts w:ascii="Calibri" w:eastAsia="Times New Roman" w:hAnsi="Calibri" w:cs="Calibri"/>
                <w:bCs/>
                <w:color w:val="000000"/>
                <w:sz w:val="20"/>
                <w:szCs w:val="20"/>
              </w:rPr>
            </w:pPr>
            <w:r w:rsidRPr="005A0452">
              <w:rPr>
                <w:rFonts w:ascii="Calibri" w:eastAsia="Times New Roman" w:hAnsi="Calibri" w:cs="Calibri"/>
                <w:bCs/>
                <w:color w:val="000000"/>
                <w:sz w:val="20"/>
                <w:szCs w:val="20"/>
              </w:rPr>
              <w:t>125,000</w:t>
            </w:r>
          </w:p>
        </w:tc>
      </w:tr>
      <w:tr w:rsidR="0011651D" w:rsidTr="001A291E">
        <w:trPr>
          <w:trHeight w:val="251"/>
        </w:trPr>
        <w:tc>
          <w:tcPr>
            <w:tcW w:w="1872" w:type="dxa"/>
            <w:tcBorders>
              <w:top w:val="single" w:sz="4" w:space="0" w:color="auto"/>
            </w:tcBorders>
            <w:shd w:val="clear" w:color="auto" w:fill="D9D9D9" w:themeFill="background1" w:themeFillShade="D9"/>
          </w:tcPr>
          <w:p w:rsidR="0011651D" w:rsidRPr="005A0452" w:rsidRDefault="0011651D" w:rsidP="00DC306D">
            <w:pPr>
              <w:rPr>
                <w:b/>
              </w:rPr>
            </w:pPr>
            <w:r w:rsidRPr="005A0452">
              <w:rPr>
                <w:b/>
              </w:rPr>
              <w:t>Sub-total</w:t>
            </w:r>
          </w:p>
        </w:tc>
        <w:tc>
          <w:tcPr>
            <w:tcW w:w="1659" w:type="dxa"/>
            <w:shd w:val="clear" w:color="auto" w:fill="D9D9D9" w:themeFill="background1" w:themeFillShade="D9"/>
          </w:tcPr>
          <w:p w:rsidR="0011651D" w:rsidRPr="005A0452" w:rsidRDefault="0011651D" w:rsidP="00DC306D">
            <w:pPr>
              <w:rPr>
                <w:b/>
              </w:rPr>
            </w:pPr>
          </w:p>
        </w:tc>
        <w:tc>
          <w:tcPr>
            <w:tcW w:w="1418" w:type="dxa"/>
            <w:tcBorders>
              <w:top w:val="single" w:sz="4" w:space="0" w:color="auto"/>
            </w:tcBorders>
            <w:shd w:val="clear" w:color="auto" w:fill="D9D9D9" w:themeFill="background1" w:themeFillShade="D9"/>
          </w:tcPr>
          <w:p w:rsidR="0011651D" w:rsidRPr="005A0452" w:rsidRDefault="0011651D" w:rsidP="00DC306D">
            <w:pPr>
              <w:rPr>
                <w:b/>
              </w:rPr>
            </w:pPr>
          </w:p>
        </w:tc>
        <w:tc>
          <w:tcPr>
            <w:tcW w:w="1811" w:type="dxa"/>
            <w:tcBorders>
              <w:top w:val="single" w:sz="4" w:space="0" w:color="auto"/>
            </w:tcBorders>
            <w:shd w:val="clear" w:color="auto" w:fill="D9D9D9" w:themeFill="background1" w:themeFillShade="D9"/>
          </w:tcPr>
          <w:p w:rsidR="0011651D" w:rsidRPr="005A0452" w:rsidRDefault="0011651D" w:rsidP="00DC306D">
            <w:pPr>
              <w:rPr>
                <w:b/>
              </w:rPr>
            </w:pPr>
          </w:p>
        </w:tc>
        <w:tc>
          <w:tcPr>
            <w:tcW w:w="558" w:type="dxa"/>
            <w:shd w:val="clear" w:color="auto" w:fill="D9D9D9" w:themeFill="background1" w:themeFillShade="D9"/>
          </w:tcPr>
          <w:p w:rsidR="0011651D" w:rsidRPr="005A0452" w:rsidRDefault="0011651D" w:rsidP="00DC306D">
            <w:pPr>
              <w:rPr>
                <w:b/>
              </w:rPr>
            </w:pPr>
          </w:p>
        </w:tc>
        <w:tc>
          <w:tcPr>
            <w:tcW w:w="503" w:type="dxa"/>
            <w:shd w:val="clear" w:color="auto" w:fill="D9D9D9" w:themeFill="background1" w:themeFillShade="D9"/>
          </w:tcPr>
          <w:p w:rsidR="0011651D" w:rsidRPr="005A0452" w:rsidRDefault="0011651D" w:rsidP="00DC306D">
            <w:pPr>
              <w:rPr>
                <w:b/>
              </w:rPr>
            </w:pPr>
          </w:p>
        </w:tc>
        <w:tc>
          <w:tcPr>
            <w:tcW w:w="503" w:type="dxa"/>
            <w:shd w:val="clear" w:color="auto" w:fill="D9D9D9" w:themeFill="background1" w:themeFillShade="D9"/>
          </w:tcPr>
          <w:p w:rsidR="0011651D" w:rsidRPr="005A0452" w:rsidRDefault="0011651D" w:rsidP="00DC306D">
            <w:pPr>
              <w:rPr>
                <w:b/>
              </w:rPr>
            </w:pPr>
          </w:p>
        </w:tc>
        <w:tc>
          <w:tcPr>
            <w:tcW w:w="503" w:type="dxa"/>
            <w:shd w:val="clear" w:color="auto" w:fill="D9D9D9" w:themeFill="background1" w:themeFillShade="D9"/>
          </w:tcPr>
          <w:p w:rsidR="0011651D" w:rsidRPr="005A0452" w:rsidRDefault="0011651D" w:rsidP="00DC306D">
            <w:pPr>
              <w:rPr>
                <w:b/>
              </w:rPr>
            </w:pPr>
          </w:p>
        </w:tc>
        <w:tc>
          <w:tcPr>
            <w:tcW w:w="561" w:type="dxa"/>
            <w:shd w:val="clear" w:color="auto" w:fill="D9D9D9" w:themeFill="background1" w:themeFillShade="D9"/>
          </w:tcPr>
          <w:p w:rsidR="0011651D" w:rsidRPr="005A0452" w:rsidRDefault="0011651D" w:rsidP="00DC306D">
            <w:pPr>
              <w:rPr>
                <w:b/>
              </w:rPr>
            </w:pPr>
          </w:p>
        </w:tc>
        <w:tc>
          <w:tcPr>
            <w:tcW w:w="503" w:type="dxa"/>
            <w:shd w:val="clear" w:color="auto" w:fill="D9D9D9" w:themeFill="background1" w:themeFillShade="D9"/>
          </w:tcPr>
          <w:p w:rsidR="0011651D" w:rsidRPr="005A0452" w:rsidRDefault="0011651D" w:rsidP="00DC306D">
            <w:pPr>
              <w:rPr>
                <w:b/>
              </w:rPr>
            </w:pPr>
          </w:p>
        </w:tc>
        <w:tc>
          <w:tcPr>
            <w:tcW w:w="503" w:type="dxa"/>
            <w:shd w:val="clear" w:color="auto" w:fill="D9D9D9" w:themeFill="background1" w:themeFillShade="D9"/>
          </w:tcPr>
          <w:p w:rsidR="0011651D" w:rsidRPr="005A0452" w:rsidRDefault="0011651D" w:rsidP="00DC306D">
            <w:pPr>
              <w:rPr>
                <w:b/>
              </w:rPr>
            </w:pPr>
          </w:p>
        </w:tc>
        <w:tc>
          <w:tcPr>
            <w:tcW w:w="503" w:type="dxa"/>
            <w:shd w:val="clear" w:color="auto" w:fill="D9D9D9" w:themeFill="background1" w:themeFillShade="D9"/>
          </w:tcPr>
          <w:p w:rsidR="0011651D" w:rsidRPr="005A0452" w:rsidRDefault="0011651D" w:rsidP="00DC306D">
            <w:pPr>
              <w:rPr>
                <w:b/>
              </w:rPr>
            </w:pPr>
          </w:p>
        </w:tc>
        <w:tc>
          <w:tcPr>
            <w:tcW w:w="1192" w:type="dxa"/>
            <w:shd w:val="clear" w:color="auto" w:fill="D9D9D9" w:themeFill="background1" w:themeFillShade="D9"/>
            <w:vAlign w:val="center"/>
          </w:tcPr>
          <w:p w:rsidR="0011651D" w:rsidRPr="005A0452" w:rsidRDefault="0011651D" w:rsidP="00DC306D">
            <w:pPr>
              <w:jc w:val="right"/>
              <w:rPr>
                <w:rFonts w:ascii="Calibri" w:eastAsia="Times New Roman" w:hAnsi="Calibri" w:cs="Calibri"/>
                <w:b/>
                <w:bCs/>
                <w:color w:val="000000"/>
                <w:sz w:val="20"/>
                <w:szCs w:val="20"/>
              </w:rPr>
            </w:pPr>
            <w:r w:rsidRPr="005A0452">
              <w:rPr>
                <w:rFonts w:ascii="Calibri" w:eastAsia="Times New Roman" w:hAnsi="Calibri" w:cs="Calibri"/>
                <w:b/>
                <w:bCs/>
                <w:color w:val="000000"/>
                <w:sz w:val="20"/>
                <w:szCs w:val="20"/>
              </w:rPr>
              <w:t>250,000</w:t>
            </w:r>
          </w:p>
        </w:tc>
        <w:tc>
          <w:tcPr>
            <w:tcW w:w="1192" w:type="dxa"/>
            <w:shd w:val="clear" w:color="auto" w:fill="D9D9D9" w:themeFill="background1" w:themeFillShade="D9"/>
            <w:vAlign w:val="center"/>
          </w:tcPr>
          <w:p w:rsidR="0011651D" w:rsidRPr="005A0452" w:rsidRDefault="0011651D" w:rsidP="00DC306D">
            <w:pPr>
              <w:jc w:val="right"/>
              <w:rPr>
                <w:rFonts w:ascii="Calibri" w:eastAsia="Times New Roman" w:hAnsi="Calibri" w:cs="Calibri"/>
                <w:b/>
                <w:bCs/>
                <w:color w:val="000000"/>
                <w:sz w:val="20"/>
                <w:szCs w:val="20"/>
              </w:rPr>
            </w:pPr>
            <w:r w:rsidRPr="005A0452">
              <w:rPr>
                <w:rFonts w:ascii="Calibri" w:eastAsia="Times New Roman" w:hAnsi="Calibri" w:cs="Calibri"/>
                <w:b/>
                <w:bCs/>
                <w:color w:val="000000"/>
                <w:sz w:val="20"/>
                <w:szCs w:val="20"/>
              </w:rPr>
              <w:t>250,000</w:t>
            </w:r>
          </w:p>
        </w:tc>
        <w:tc>
          <w:tcPr>
            <w:tcW w:w="1192" w:type="dxa"/>
            <w:shd w:val="clear" w:color="auto" w:fill="D9D9D9" w:themeFill="background1" w:themeFillShade="D9"/>
            <w:vAlign w:val="center"/>
          </w:tcPr>
          <w:p w:rsidR="0011651D" w:rsidRPr="005A0452" w:rsidRDefault="0011651D" w:rsidP="00DC306D">
            <w:pPr>
              <w:jc w:val="right"/>
              <w:rPr>
                <w:rFonts w:ascii="Calibri" w:eastAsia="Times New Roman" w:hAnsi="Calibri" w:cs="Calibri"/>
                <w:b/>
                <w:bCs/>
                <w:color w:val="000000"/>
                <w:sz w:val="20"/>
                <w:szCs w:val="20"/>
              </w:rPr>
            </w:pPr>
            <w:r w:rsidRPr="005A0452">
              <w:rPr>
                <w:rFonts w:ascii="Calibri" w:eastAsia="Times New Roman" w:hAnsi="Calibri" w:cs="Calibri"/>
                <w:b/>
                <w:bCs/>
                <w:color w:val="000000"/>
                <w:sz w:val="20"/>
                <w:szCs w:val="20"/>
              </w:rPr>
              <w:t>500,000</w:t>
            </w:r>
          </w:p>
        </w:tc>
      </w:tr>
      <w:tr w:rsidR="00556F48" w:rsidTr="0011651D">
        <w:trPr>
          <w:trHeight w:val="251"/>
        </w:trPr>
        <w:tc>
          <w:tcPr>
            <w:tcW w:w="1872" w:type="dxa"/>
            <w:vMerge w:val="restart"/>
            <w:shd w:val="clear" w:color="auto" w:fill="FFFFFF" w:themeFill="background1"/>
          </w:tcPr>
          <w:p w:rsidR="00556F48" w:rsidRPr="001E1ED4" w:rsidRDefault="001A291E" w:rsidP="00DC306D">
            <w:r>
              <w:t xml:space="preserve">Expected Result 4: </w:t>
            </w:r>
            <w:r w:rsidR="00556F48" w:rsidRPr="001E1ED4">
              <w:t>Strengthened UN-REDD Programme capacity to support countries in these areas and coordinate with other relevant initiative</w:t>
            </w:r>
          </w:p>
        </w:tc>
        <w:tc>
          <w:tcPr>
            <w:tcW w:w="1659" w:type="dxa"/>
            <w:shd w:val="clear" w:color="auto" w:fill="FFFFFF" w:themeFill="background1"/>
          </w:tcPr>
          <w:p w:rsidR="00556F48" w:rsidRPr="001E1ED4" w:rsidRDefault="00556F48" w:rsidP="00DC306D">
            <w:r w:rsidRPr="001E1ED4">
              <w:t>Implementation plan</w:t>
            </w:r>
          </w:p>
        </w:tc>
        <w:tc>
          <w:tcPr>
            <w:tcW w:w="1418" w:type="dxa"/>
            <w:shd w:val="clear" w:color="auto" w:fill="FFFFFF" w:themeFill="background1"/>
          </w:tcPr>
          <w:p w:rsidR="00556F48" w:rsidRPr="001E1ED4" w:rsidRDefault="00556F48" w:rsidP="00DC306D">
            <w:r w:rsidRPr="001E1ED4">
              <w:t>All 3 agencies</w:t>
            </w:r>
          </w:p>
        </w:tc>
        <w:tc>
          <w:tcPr>
            <w:tcW w:w="1811" w:type="dxa"/>
            <w:shd w:val="clear" w:color="auto" w:fill="FFFFFF" w:themeFill="background1"/>
          </w:tcPr>
          <w:p w:rsidR="00556F48" w:rsidRPr="001E1ED4" w:rsidRDefault="00556F48" w:rsidP="00DC306D">
            <w:r w:rsidRPr="001E1ED4">
              <w:t>Inception meeting</w:t>
            </w:r>
          </w:p>
        </w:tc>
        <w:tc>
          <w:tcPr>
            <w:tcW w:w="558" w:type="dxa"/>
            <w:shd w:val="clear" w:color="auto" w:fill="4F81BD" w:themeFill="accent1"/>
          </w:tcPr>
          <w:p w:rsidR="00556F48" w:rsidRPr="001E1ED4" w:rsidRDefault="00556F48" w:rsidP="00DC306D"/>
        </w:tc>
        <w:tc>
          <w:tcPr>
            <w:tcW w:w="503" w:type="dxa"/>
            <w:shd w:val="clear" w:color="auto" w:fill="FFFFFF" w:themeFill="background1"/>
          </w:tcPr>
          <w:p w:rsidR="00556F48" w:rsidRPr="001E1ED4" w:rsidRDefault="00556F48" w:rsidP="00DC306D"/>
        </w:tc>
        <w:tc>
          <w:tcPr>
            <w:tcW w:w="503" w:type="dxa"/>
            <w:shd w:val="clear" w:color="auto" w:fill="FFFFFF" w:themeFill="background1"/>
          </w:tcPr>
          <w:p w:rsidR="00556F48" w:rsidRPr="001E1ED4" w:rsidRDefault="00556F48" w:rsidP="00DC306D"/>
        </w:tc>
        <w:tc>
          <w:tcPr>
            <w:tcW w:w="503" w:type="dxa"/>
            <w:shd w:val="clear" w:color="auto" w:fill="FFFFFF" w:themeFill="background1"/>
          </w:tcPr>
          <w:p w:rsidR="00556F48" w:rsidRPr="001E1ED4" w:rsidRDefault="00556F48" w:rsidP="00DC306D"/>
        </w:tc>
        <w:tc>
          <w:tcPr>
            <w:tcW w:w="561" w:type="dxa"/>
            <w:shd w:val="clear" w:color="auto" w:fill="FFFFFF" w:themeFill="background1"/>
          </w:tcPr>
          <w:p w:rsidR="00556F48" w:rsidRPr="001E1ED4" w:rsidRDefault="00556F48" w:rsidP="00DC306D"/>
        </w:tc>
        <w:tc>
          <w:tcPr>
            <w:tcW w:w="503" w:type="dxa"/>
            <w:shd w:val="clear" w:color="auto" w:fill="FFFFFF" w:themeFill="background1"/>
          </w:tcPr>
          <w:p w:rsidR="00556F48" w:rsidRPr="001E1ED4" w:rsidRDefault="00556F48" w:rsidP="00DC306D"/>
        </w:tc>
        <w:tc>
          <w:tcPr>
            <w:tcW w:w="503" w:type="dxa"/>
            <w:shd w:val="clear" w:color="auto" w:fill="FFFFFF" w:themeFill="background1"/>
          </w:tcPr>
          <w:p w:rsidR="00556F48" w:rsidRPr="001E1ED4" w:rsidRDefault="00556F48" w:rsidP="00DC306D"/>
        </w:tc>
        <w:tc>
          <w:tcPr>
            <w:tcW w:w="503" w:type="dxa"/>
            <w:shd w:val="clear" w:color="auto" w:fill="FFFFFF" w:themeFill="background1"/>
          </w:tcPr>
          <w:p w:rsidR="00556F48" w:rsidRPr="001E1ED4" w:rsidRDefault="00556F48" w:rsidP="00DC306D"/>
        </w:tc>
        <w:tc>
          <w:tcPr>
            <w:tcW w:w="1192" w:type="dxa"/>
            <w:shd w:val="clear" w:color="auto" w:fill="FFFFFF" w:themeFill="background1"/>
            <w:vAlign w:val="center"/>
          </w:tcPr>
          <w:p w:rsidR="00556F48" w:rsidRPr="001E1ED4" w:rsidRDefault="00556F48" w:rsidP="00DC306D">
            <w:pPr>
              <w:jc w:val="right"/>
            </w:pPr>
            <w:r>
              <w:t>25,000</w:t>
            </w:r>
          </w:p>
        </w:tc>
        <w:tc>
          <w:tcPr>
            <w:tcW w:w="1192" w:type="dxa"/>
            <w:shd w:val="clear" w:color="auto" w:fill="FFFFFF" w:themeFill="background1"/>
            <w:vAlign w:val="center"/>
          </w:tcPr>
          <w:p w:rsidR="00556F48" w:rsidRPr="001E1ED4" w:rsidRDefault="00556F48" w:rsidP="00DC306D">
            <w:pPr>
              <w:jc w:val="right"/>
            </w:pPr>
          </w:p>
        </w:tc>
        <w:tc>
          <w:tcPr>
            <w:tcW w:w="1192" w:type="dxa"/>
            <w:shd w:val="clear" w:color="auto" w:fill="FFFFFF" w:themeFill="background1"/>
            <w:vAlign w:val="center"/>
          </w:tcPr>
          <w:p w:rsidR="00556F48" w:rsidRPr="001E1ED4" w:rsidRDefault="00556F48" w:rsidP="00DC306D">
            <w:pPr>
              <w:jc w:val="right"/>
            </w:pPr>
            <w:r>
              <w:t>25,000</w:t>
            </w:r>
          </w:p>
        </w:tc>
      </w:tr>
      <w:tr w:rsidR="00556F48" w:rsidTr="0011651D">
        <w:trPr>
          <w:trHeight w:val="251"/>
        </w:trPr>
        <w:tc>
          <w:tcPr>
            <w:tcW w:w="1872" w:type="dxa"/>
            <w:vMerge/>
            <w:shd w:val="clear" w:color="auto" w:fill="FFFFFF" w:themeFill="background1"/>
          </w:tcPr>
          <w:p w:rsidR="00556F48" w:rsidRPr="001E1ED4" w:rsidRDefault="00556F48" w:rsidP="00DC306D"/>
        </w:tc>
        <w:tc>
          <w:tcPr>
            <w:tcW w:w="1659" w:type="dxa"/>
            <w:shd w:val="clear" w:color="auto" w:fill="FFFFFF" w:themeFill="background1"/>
          </w:tcPr>
          <w:p w:rsidR="00556F48" w:rsidRPr="001E1ED4" w:rsidRDefault="00556F48" w:rsidP="00DC306D">
            <w:r w:rsidRPr="001E1ED4">
              <w:t>Overall coordination and technical advice</w:t>
            </w:r>
          </w:p>
        </w:tc>
        <w:tc>
          <w:tcPr>
            <w:tcW w:w="1418" w:type="dxa"/>
            <w:shd w:val="clear" w:color="auto" w:fill="FFFFFF" w:themeFill="background1"/>
          </w:tcPr>
          <w:p w:rsidR="00556F48" w:rsidRPr="001E1ED4" w:rsidRDefault="00556F48" w:rsidP="00DC306D">
            <w:r w:rsidRPr="001E1ED4">
              <w:t>UNEP position suggested (to be confirmed)</w:t>
            </w:r>
          </w:p>
        </w:tc>
        <w:tc>
          <w:tcPr>
            <w:tcW w:w="1811" w:type="dxa"/>
            <w:shd w:val="clear" w:color="auto" w:fill="FFFFFF" w:themeFill="background1"/>
          </w:tcPr>
          <w:p w:rsidR="00556F48" w:rsidRPr="001E1ED4" w:rsidRDefault="00556F48" w:rsidP="00DC306D">
            <w:r w:rsidRPr="001E1ED4">
              <w:t xml:space="preserve">Add to UN-REDD safeguards capacity </w:t>
            </w:r>
            <w:r w:rsidR="001A291E">
              <w:t>on all of the above activities</w:t>
            </w:r>
            <w:r w:rsidRPr="001E1ED4">
              <w:t xml:space="preserve"> (Hire co</w:t>
            </w:r>
            <w:r>
              <w:t>ordinator/ technical adviser).</w:t>
            </w:r>
          </w:p>
        </w:tc>
        <w:tc>
          <w:tcPr>
            <w:tcW w:w="558" w:type="dxa"/>
            <w:shd w:val="clear" w:color="auto" w:fill="4F81BD" w:themeFill="accent1"/>
          </w:tcPr>
          <w:p w:rsidR="00556F48" w:rsidRPr="001E1ED4" w:rsidRDefault="00556F48" w:rsidP="00DC306D"/>
        </w:tc>
        <w:tc>
          <w:tcPr>
            <w:tcW w:w="503" w:type="dxa"/>
            <w:shd w:val="clear" w:color="auto" w:fill="FFFFFF" w:themeFill="background1"/>
          </w:tcPr>
          <w:p w:rsidR="00556F48" w:rsidRPr="001E1ED4" w:rsidRDefault="00556F48" w:rsidP="00DC306D"/>
        </w:tc>
        <w:tc>
          <w:tcPr>
            <w:tcW w:w="503" w:type="dxa"/>
            <w:shd w:val="clear" w:color="auto" w:fill="FFFFFF" w:themeFill="background1"/>
          </w:tcPr>
          <w:p w:rsidR="00556F48" w:rsidRPr="001E1ED4" w:rsidRDefault="00556F48" w:rsidP="00DC306D"/>
        </w:tc>
        <w:tc>
          <w:tcPr>
            <w:tcW w:w="503" w:type="dxa"/>
            <w:shd w:val="clear" w:color="auto" w:fill="FFFFFF" w:themeFill="background1"/>
          </w:tcPr>
          <w:p w:rsidR="00556F48" w:rsidRPr="001E1ED4" w:rsidRDefault="00556F48" w:rsidP="00DC306D"/>
        </w:tc>
        <w:tc>
          <w:tcPr>
            <w:tcW w:w="561" w:type="dxa"/>
            <w:shd w:val="clear" w:color="auto" w:fill="FFFFFF" w:themeFill="background1"/>
          </w:tcPr>
          <w:p w:rsidR="00556F48" w:rsidRPr="001E1ED4" w:rsidRDefault="00556F48" w:rsidP="00DC306D"/>
        </w:tc>
        <w:tc>
          <w:tcPr>
            <w:tcW w:w="503" w:type="dxa"/>
            <w:shd w:val="clear" w:color="auto" w:fill="FFFFFF" w:themeFill="background1"/>
          </w:tcPr>
          <w:p w:rsidR="00556F48" w:rsidRPr="001E1ED4" w:rsidRDefault="00556F48" w:rsidP="00DC306D"/>
        </w:tc>
        <w:tc>
          <w:tcPr>
            <w:tcW w:w="503" w:type="dxa"/>
            <w:shd w:val="clear" w:color="auto" w:fill="FFFFFF" w:themeFill="background1"/>
          </w:tcPr>
          <w:p w:rsidR="00556F48" w:rsidRPr="001E1ED4" w:rsidRDefault="00556F48" w:rsidP="00DC306D"/>
        </w:tc>
        <w:tc>
          <w:tcPr>
            <w:tcW w:w="503" w:type="dxa"/>
            <w:shd w:val="clear" w:color="auto" w:fill="FFFFFF" w:themeFill="background1"/>
          </w:tcPr>
          <w:p w:rsidR="00556F48" w:rsidRPr="001E1ED4" w:rsidRDefault="00556F48" w:rsidP="00DC306D"/>
        </w:tc>
        <w:tc>
          <w:tcPr>
            <w:tcW w:w="1192" w:type="dxa"/>
            <w:shd w:val="clear" w:color="auto" w:fill="FFFFFF" w:themeFill="background1"/>
            <w:vAlign w:val="center"/>
          </w:tcPr>
          <w:p w:rsidR="00556F48" w:rsidRDefault="00556F48" w:rsidP="00DC306D">
            <w:pPr>
              <w:jc w:val="right"/>
            </w:pPr>
            <w:r>
              <w:t>150,000</w:t>
            </w:r>
          </w:p>
        </w:tc>
        <w:tc>
          <w:tcPr>
            <w:tcW w:w="1192" w:type="dxa"/>
            <w:shd w:val="clear" w:color="auto" w:fill="FFFFFF" w:themeFill="background1"/>
            <w:vAlign w:val="center"/>
          </w:tcPr>
          <w:p w:rsidR="00556F48" w:rsidRPr="001E1ED4" w:rsidRDefault="00556F48" w:rsidP="00DC306D">
            <w:pPr>
              <w:jc w:val="right"/>
            </w:pPr>
            <w:r>
              <w:t>150,000</w:t>
            </w:r>
          </w:p>
        </w:tc>
        <w:tc>
          <w:tcPr>
            <w:tcW w:w="1192" w:type="dxa"/>
            <w:shd w:val="clear" w:color="auto" w:fill="FFFFFF" w:themeFill="background1"/>
            <w:vAlign w:val="center"/>
          </w:tcPr>
          <w:p w:rsidR="00556F48" w:rsidRDefault="00556F48" w:rsidP="00DC306D">
            <w:pPr>
              <w:jc w:val="right"/>
            </w:pPr>
            <w:r>
              <w:t>300,000</w:t>
            </w:r>
          </w:p>
        </w:tc>
      </w:tr>
      <w:tr w:rsidR="001A291E" w:rsidTr="001A5BE0">
        <w:trPr>
          <w:trHeight w:val="251"/>
        </w:trPr>
        <w:tc>
          <w:tcPr>
            <w:tcW w:w="10897" w:type="dxa"/>
            <w:gridSpan w:val="12"/>
            <w:shd w:val="clear" w:color="auto" w:fill="D9D9D9" w:themeFill="background1" w:themeFillShade="D9"/>
          </w:tcPr>
          <w:p w:rsidR="001A291E" w:rsidRPr="00F13BA6" w:rsidRDefault="001A291E" w:rsidP="00DC306D">
            <w:pPr>
              <w:rPr>
                <w:b/>
              </w:rPr>
            </w:pPr>
            <w:r w:rsidRPr="00F13BA6">
              <w:rPr>
                <w:b/>
              </w:rPr>
              <w:t>Sub-total</w:t>
            </w:r>
          </w:p>
        </w:tc>
        <w:tc>
          <w:tcPr>
            <w:tcW w:w="1192" w:type="dxa"/>
            <w:shd w:val="clear" w:color="auto" w:fill="D9D9D9" w:themeFill="background1" w:themeFillShade="D9"/>
            <w:vAlign w:val="center"/>
          </w:tcPr>
          <w:p w:rsidR="001A291E" w:rsidRPr="00F13BA6" w:rsidRDefault="001A291E" w:rsidP="00DC306D">
            <w:pPr>
              <w:jc w:val="right"/>
              <w:rPr>
                <w:rFonts w:ascii="Calibri" w:eastAsia="Times New Roman" w:hAnsi="Calibri" w:cs="Calibri"/>
                <w:b/>
                <w:bCs/>
                <w:color w:val="000000"/>
              </w:rPr>
            </w:pPr>
            <w:r w:rsidRPr="00F13BA6">
              <w:rPr>
                <w:rFonts w:ascii="Calibri" w:eastAsia="Times New Roman" w:hAnsi="Calibri" w:cs="Calibri"/>
                <w:b/>
                <w:bCs/>
                <w:color w:val="000000"/>
              </w:rPr>
              <w:t>175,000</w:t>
            </w:r>
          </w:p>
        </w:tc>
        <w:tc>
          <w:tcPr>
            <w:tcW w:w="1192" w:type="dxa"/>
            <w:shd w:val="clear" w:color="auto" w:fill="D9D9D9" w:themeFill="background1" w:themeFillShade="D9"/>
            <w:vAlign w:val="center"/>
          </w:tcPr>
          <w:p w:rsidR="001A291E" w:rsidRPr="00F13BA6" w:rsidRDefault="001A291E" w:rsidP="00DC306D">
            <w:pPr>
              <w:jc w:val="right"/>
              <w:rPr>
                <w:rFonts w:ascii="Calibri" w:eastAsia="Times New Roman" w:hAnsi="Calibri" w:cs="Calibri"/>
                <w:b/>
                <w:bCs/>
                <w:color w:val="000000"/>
              </w:rPr>
            </w:pPr>
            <w:r w:rsidRPr="00F13BA6">
              <w:rPr>
                <w:rFonts w:ascii="Calibri" w:eastAsia="Times New Roman" w:hAnsi="Calibri" w:cs="Calibri"/>
                <w:b/>
                <w:bCs/>
                <w:color w:val="000000"/>
              </w:rPr>
              <w:t>150,000</w:t>
            </w:r>
          </w:p>
        </w:tc>
        <w:tc>
          <w:tcPr>
            <w:tcW w:w="1192" w:type="dxa"/>
            <w:shd w:val="clear" w:color="auto" w:fill="D9D9D9" w:themeFill="background1" w:themeFillShade="D9"/>
            <w:vAlign w:val="center"/>
          </w:tcPr>
          <w:p w:rsidR="001A291E" w:rsidRPr="00F13BA6" w:rsidRDefault="001A291E" w:rsidP="00DC306D">
            <w:pPr>
              <w:jc w:val="right"/>
              <w:rPr>
                <w:rFonts w:ascii="Calibri" w:eastAsia="Times New Roman" w:hAnsi="Calibri" w:cs="Calibri"/>
                <w:b/>
                <w:bCs/>
                <w:color w:val="000000"/>
              </w:rPr>
            </w:pPr>
            <w:r w:rsidRPr="00F13BA6">
              <w:rPr>
                <w:rFonts w:ascii="Calibri" w:eastAsia="Times New Roman" w:hAnsi="Calibri" w:cs="Calibri"/>
                <w:b/>
                <w:bCs/>
                <w:color w:val="000000"/>
              </w:rPr>
              <w:t>325,000</w:t>
            </w:r>
          </w:p>
        </w:tc>
      </w:tr>
      <w:tr w:rsidR="001A291E" w:rsidTr="00C24A07">
        <w:trPr>
          <w:trHeight w:val="251"/>
        </w:trPr>
        <w:tc>
          <w:tcPr>
            <w:tcW w:w="10897" w:type="dxa"/>
            <w:gridSpan w:val="12"/>
            <w:shd w:val="clear" w:color="auto" w:fill="D9D9D9" w:themeFill="background1" w:themeFillShade="D9"/>
          </w:tcPr>
          <w:p w:rsidR="001A291E" w:rsidRPr="00F13BA6" w:rsidRDefault="001A291E" w:rsidP="00DC306D">
            <w:pPr>
              <w:rPr>
                <w:b/>
              </w:rPr>
            </w:pPr>
            <w:r w:rsidRPr="00F13BA6">
              <w:rPr>
                <w:b/>
              </w:rPr>
              <w:t>Total, Results 1-4 (US$)</w:t>
            </w:r>
          </w:p>
        </w:tc>
        <w:tc>
          <w:tcPr>
            <w:tcW w:w="1192" w:type="dxa"/>
            <w:shd w:val="clear" w:color="auto" w:fill="D9D9D9" w:themeFill="background1" w:themeFillShade="D9"/>
            <w:vAlign w:val="center"/>
          </w:tcPr>
          <w:p w:rsidR="001A291E" w:rsidRPr="00F13BA6" w:rsidRDefault="001A291E" w:rsidP="00DC306D">
            <w:pPr>
              <w:jc w:val="right"/>
              <w:rPr>
                <w:b/>
              </w:rPr>
            </w:pPr>
            <w:r w:rsidRPr="00F13BA6">
              <w:rPr>
                <w:b/>
              </w:rPr>
              <w:t>725,000</w:t>
            </w:r>
            <w:r w:rsidRPr="00F13BA6">
              <w:rPr>
                <w:rStyle w:val="FootnoteReference"/>
                <w:b/>
              </w:rPr>
              <w:footnoteReference w:id="5"/>
            </w:r>
          </w:p>
        </w:tc>
        <w:tc>
          <w:tcPr>
            <w:tcW w:w="1192" w:type="dxa"/>
            <w:shd w:val="clear" w:color="auto" w:fill="D9D9D9" w:themeFill="background1" w:themeFillShade="D9"/>
            <w:vAlign w:val="center"/>
          </w:tcPr>
          <w:p w:rsidR="001A291E" w:rsidRPr="00F13BA6" w:rsidRDefault="001A291E" w:rsidP="00DC306D">
            <w:pPr>
              <w:jc w:val="right"/>
              <w:rPr>
                <w:b/>
              </w:rPr>
            </w:pPr>
            <w:r w:rsidRPr="00F13BA6">
              <w:rPr>
                <w:b/>
              </w:rPr>
              <w:t>700,000</w:t>
            </w:r>
          </w:p>
        </w:tc>
        <w:tc>
          <w:tcPr>
            <w:tcW w:w="1192" w:type="dxa"/>
            <w:shd w:val="clear" w:color="auto" w:fill="D9D9D9" w:themeFill="background1" w:themeFillShade="D9"/>
            <w:vAlign w:val="center"/>
          </w:tcPr>
          <w:p w:rsidR="001A291E" w:rsidRPr="00F13BA6" w:rsidRDefault="001A291E" w:rsidP="00DC306D">
            <w:pPr>
              <w:jc w:val="right"/>
              <w:rPr>
                <w:b/>
              </w:rPr>
            </w:pPr>
            <w:r w:rsidRPr="00F13BA6">
              <w:rPr>
                <w:b/>
              </w:rPr>
              <w:t>1,425,000</w:t>
            </w:r>
          </w:p>
        </w:tc>
      </w:tr>
      <w:tr w:rsidR="001A291E" w:rsidTr="00022B49">
        <w:trPr>
          <w:trHeight w:val="251"/>
        </w:trPr>
        <w:tc>
          <w:tcPr>
            <w:tcW w:w="10897" w:type="dxa"/>
            <w:gridSpan w:val="12"/>
            <w:shd w:val="clear" w:color="auto" w:fill="D9D9D9" w:themeFill="background1" w:themeFillShade="D9"/>
          </w:tcPr>
          <w:p w:rsidR="001A291E" w:rsidRPr="00F13BA6" w:rsidRDefault="001A291E" w:rsidP="00DC306D">
            <w:pPr>
              <w:rPr>
                <w:b/>
              </w:rPr>
            </w:pPr>
            <w:r w:rsidRPr="00F13BA6">
              <w:rPr>
                <w:b/>
              </w:rPr>
              <w:t>Indirect support cost, 7% (US$)</w:t>
            </w:r>
          </w:p>
        </w:tc>
        <w:tc>
          <w:tcPr>
            <w:tcW w:w="1192" w:type="dxa"/>
            <w:shd w:val="clear" w:color="auto" w:fill="D9D9D9" w:themeFill="background1" w:themeFillShade="D9"/>
            <w:vAlign w:val="center"/>
          </w:tcPr>
          <w:p w:rsidR="001A291E" w:rsidRPr="00F13BA6" w:rsidRDefault="001A291E" w:rsidP="00DC306D">
            <w:pPr>
              <w:jc w:val="right"/>
              <w:rPr>
                <w:b/>
              </w:rPr>
            </w:pPr>
            <w:r w:rsidRPr="00F13BA6">
              <w:rPr>
                <w:b/>
              </w:rPr>
              <w:t>50,750</w:t>
            </w:r>
          </w:p>
        </w:tc>
        <w:tc>
          <w:tcPr>
            <w:tcW w:w="1192" w:type="dxa"/>
            <w:shd w:val="clear" w:color="auto" w:fill="D9D9D9" w:themeFill="background1" w:themeFillShade="D9"/>
            <w:vAlign w:val="center"/>
          </w:tcPr>
          <w:p w:rsidR="001A291E" w:rsidRPr="00F13BA6" w:rsidRDefault="001A291E" w:rsidP="00DC306D">
            <w:pPr>
              <w:jc w:val="right"/>
              <w:rPr>
                <w:b/>
              </w:rPr>
            </w:pPr>
            <w:r w:rsidRPr="00F13BA6">
              <w:rPr>
                <w:b/>
              </w:rPr>
              <w:t>49,000</w:t>
            </w:r>
          </w:p>
        </w:tc>
        <w:tc>
          <w:tcPr>
            <w:tcW w:w="1192" w:type="dxa"/>
            <w:shd w:val="clear" w:color="auto" w:fill="D9D9D9" w:themeFill="background1" w:themeFillShade="D9"/>
            <w:vAlign w:val="center"/>
          </w:tcPr>
          <w:p w:rsidR="001A291E" w:rsidRPr="00F13BA6" w:rsidRDefault="001A291E" w:rsidP="00DC306D">
            <w:pPr>
              <w:jc w:val="right"/>
              <w:rPr>
                <w:b/>
              </w:rPr>
            </w:pPr>
            <w:r w:rsidRPr="00F13BA6">
              <w:rPr>
                <w:b/>
              </w:rPr>
              <w:t>99,750</w:t>
            </w:r>
          </w:p>
        </w:tc>
      </w:tr>
      <w:tr w:rsidR="001A291E" w:rsidTr="008B1F7B">
        <w:trPr>
          <w:trHeight w:val="251"/>
        </w:trPr>
        <w:tc>
          <w:tcPr>
            <w:tcW w:w="10897" w:type="dxa"/>
            <w:gridSpan w:val="12"/>
            <w:shd w:val="clear" w:color="auto" w:fill="D9D9D9" w:themeFill="background1" w:themeFillShade="D9"/>
          </w:tcPr>
          <w:p w:rsidR="001A291E" w:rsidRPr="00F13BA6" w:rsidRDefault="001A291E" w:rsidP="001A291E">
            <w:pPr>
              <w:spacing w:before="240"/>
              <w:rPr>
                <w:b/>
              </w:rPr>
            </w:pPr>
            <w:r w:rsidRPr="00F13BA6">
              <w:rPr>
                <w:b/>
              </w:rPr>
              <w:t>TOTAL BUDGET (US$)</w:t>
            </w:r>
          </w:p>
        </w:tc>
        <w:tc>
          <w:tcPr>
            <w:tcW w:w="1192" w:type="dxa"/>
            <w:shd w:val="clear" w:color="auto" w:fill="D9D9D9" w:themeFill="background1" w:themeFillShade="D9"/>
            <w:vAlign w:val="center"/>
          </w:tcPr>
          <w:p w:rsidR="001A291E" w:rsidRPr="00F13BA6" w:rsidRDefault="001A291E" w:rsidP="001A291E">
            <w:pPr>
              <w:spacing w:before="240"/>
              <w:jc w:val="right"/>
              <w:rPr>
                <w:b/>
              </w:rPr>
            </w:pPr>
            <w:r w:rsidRPr="00F13BA6">
              <w:rPr>
                <w:b/>
              </w:rPr>
              <w:t>775,750</w:t>
            </w:r>
            <w:r w:rsidRPr="00F13BA6">
              <w:rPr>
                <w:rStyle w:val="FootnoteReference"/>
                <w:b/>
              </w:rPr>
              <w:footnoteReference w:id="6"/>
            </w:r>
          </w:p>
        </w:tc>
        <w:tc>
          <w:tcPr>
            <w:tcW w:w="1192" w:type="dxa"/>
            <w:shd w:val="clear" w:color="auto" w:fill="D9D9D9" w:themeFill="background1" w:themeFillShade="D9"/>
            <w:vAlign w:val="center"/>
          </w:tcPr>
          <w:p w:rsidR="001A291E" w:rsidRPr="00F13BA6" w:rsidRDefault="001A291E" w:rsidP="001A291E">
            <w:pPr>
              <w:spacing w:before="240"/>
              <w:jc w:val="right"/>
              <w:rPr>
                <w:b/>
              </w:rPr>
            </w:pPr>
            <w:r w:rsidRPr="00F13BA6">
              <w:rPr>
                <w:b/>
              </w:rPr>
              <w:t>749,000</w:t>
            </w:r>
          </w:p>
        </w:tc>
        <w:tc>
          <w:tcPr>
            <w:tcW w:w="1192" w:type="dxa"/>
            <w:shd w:val="clear" w:color="auto" w:fill="D9D9D9" w:themeFill="background1" w:themeFillShade="D9"/>
            <w:vAlign w:val="center"/>
          </w:tcPr>
          <w:p w:rsidR="001A291E" w:rsidRPr="00F13BA6" w:rsidRDefault="001A291E" w:rsidP="001A291E">
            <w:pPr>
              <w:spacing w:before="240"/>
              <w:jc w:val="right"/>
              <w:rPr>
                <w:b/>
              </w:rPr>
            </w:pPr>
            <w:r w:rsidRPr="00F13BA6">
              <w:rPr>
                <w:b/>
              </w:rPr>
              <w:t>1,524,750</w:t>
            </w:r>
          </w:p>
        </w:tc>
      </w:tr>
    </w:tbl>
    <w:p w:rsidR="00E143BE" w:rsidRDefault="00E143BE"/>
    <w:sectPr w:rsidR="00E143BE" w:rsidSect="0092010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A42" w:rsidRDefault="003A3A42" w:rsidP="0036590B">
      <w:pPr>
        <w:spacing w:after="0" w:line="240" w:lineRule="auto"/>
      </w:pPr>
      <w:r>
        <w:separator/>
      </w:r>
    </w:p>
  </w:endnote>
  <w:endnote w:type="continuationSeparator" w:id="0">
    <w:p w:rsidR="003A3A42" w:rsidRDefault="003A3A42" w:rsidP="0036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188767"/>
      <w:docPartObj>
        <w:docPartGallery w:val="Page Numbers (Bottom of Page)"/>
        <w:docPartUnique/>
      </w:docPartObj>
    </w:sdtPr>
    <w:sdtEndPr>
      <w:rPr>
        <w:noProof/>
      </w:rPr>
    </w:sdtEndPr>
    <w:sdtContent>
      <w:p w:rsidR="00393EDE" w:rsidRDefault="00393EDE" w:rsidP="001A291E">
        <w:pPr>
          <w:pStyle w:val="Footer"/>
          <w:jc w:val="right"/>
        </w:pPr>
        <w:r>
          <w:fldChar w:fldCharType="begin"/>
        </w:r>
        <w:r>
          <w:instrText xml:space="preserve"> PAGE   \* MERGEFORMAT </w:instrText>
        </w:r>
        <w:r>
          <w:fldChar w:fldCharType="separate"/>
        </w:r>
        <w:r w:rsidR="00BB1E95">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A42" w:rsidRDefault="003A3A42" w:rsidP="0036590B">
      <w:pPr>
        <w:spacing w:after="0" w:line="240" w:lineRule="auto"/>
      </w:pPr>
      <w:r>
        <w:separator/>
      </w:r>
    </w:p>
  </w:footnote>
  <w:footnote w:type="continuationSeparator" w:id="0">
    <w:p w:rsidR="003A3A42" w:rsidRDefault="003A3A42" w:rsidP="0036590B">
      <w:pPr>
        <w:spacing w:after="0" w:line="240" w:lineRule="auto"/>
      </w:pPr>
      <w:r>
        <w:continuationSeparator/>
      </w:r>
    </w:p>
  </w:footnote>
  <w:footnote w:id="1">
    <w:p w:rsidR="0036590B" w:rsidRPr="0036590B" w:rsidRDefault="0036590B">
      <w:pPr>
        <w:pStyle w:val="FootnoteText"/>
        <w:rPr>
          <w:lang w:val="en-US"/>
        </w:rPr>
      </w:pPr>
      <w:r>
        <w:rPr>
          <w:rStyle w:val="FootnoteReference"/>
        </w:rPr>
        <w:footnoteRef/>
      </w:r>
      <w:r>
        <w:t xml:space="preserve"> </w:t>
      </w:r>
      <w:r w:rsidRPr="0036590B">
        <w:t>The work areas are: Measurement, Reporting and Verification (MRV); Governance; Stakeholder Engagement; Multiple Benefits and Safeguards; Transparency and Accountability; and, Green Economy</w:t>
      </w:r>
      <w:r>
        <w:t>.</w:t>
      </w:r>
    </w:p>
  </w:footnote>
  <w:footnote w:id="2">
    <w:p w:rsidR="00EB7A93" w:rsidRDefault="00EB7A93" w:rsidP="00EB7A93">
      <w:pPr>
        <w:pStyle w:val="FootnoteText"/>
      </w:pPr>
      <w:r>
        <w:rPr>
          <w:rStyle w:val="FootnoteReference"/>
        </w:rPr>
        <w:footnoteRef/>
      </w:r>
      <w:r>
        <w:t xml:space="preserve"> </w:t>
      </w:r>
      <w:r w:rsidRPr="003E7AF7">
        <w:t>Out of this amount, about US</w:t>
      </w:r>
      <w:r w:rsidRPr="003E7AF7">
        <w:rPr>
          <w:rFonts w:cstheme="minorHAnsi"/>
        </w:rPr>
        <w:t>$</w:t>
      </w:r>
      <w:r w:rsidRPr="003E7AF7">
        <w:t xml:space="preserve"> 590,000 is allocated to targeted support upon demand from countries. See also separate concept note on targeted support.</w:t>
      </w:r>
    </w:p>
  </w:footnote>
  <w:footnote w:id="3">
    <w:p w:rsidR="009E71B3" w:rsidRDefault="009E71B3">
      <w:pPr>
        <w:pStyle w:val="FootnoteText"/>
      </w:pPr>
      <w:r>
        <w:rPr>
          <w:rStyle w:val="FootnoteReference"/>
        </w:rPr>
        <w:footnoteRef/>
      </w:r>
      <w:r>
        <w:t xml:space="preserve"> </w:t>
      </w:r>
      <w:r w:rsidRPr="009E71B3">
        <w:t>UN-REDD Programme staff clearly communicate that there is no reference to safeguard monitoring in the UNFCCC decisions; but that countries may choose to incorporate monitoring information into their SIS.</w:t>
      </w:r>
    </w:p>
  </w:footnote>
  <w:footnote w:id="4">
    <w:p w:rsidR="00715198" w:rsidRDefault="00715198">
      <w:pPr>
        <w:pStyle w:val="FootnoteText"/>
      </w:pPr>
      <w:r>
        <w:rPr>
          <w:rStyle w:val="FootnoteReference"/>
        </w:rPr>
        <w:footnoteRef/>
      </w:r>
      <w:r>
        <w:t xml:space="preserve"> </w:t>
      </w:r>
      <w:r w:rsidRPr="00715198">
        <w:t>The draft Framework will be embedded in the overall SNA Monitoring Framework 2013-2014</w:t>
      </w:r>
    </w:p>
  </w:footnote>
  <w:footnote w:id="5">
    <w:p w:rsidR="001A291E" w:rsidRDefault="001A291E">
      <w:pPr>
        <w:pStyle w:val="FootnoteText"/>
      </w:pPr>
      <w:r>
        <w:rPr>
          <w:rStyle w:val="FootnoteReference"/>
        </w:rPr>
        <w:footnoteRef/>
      </w:r>
      <w:r>
        <w:t xml:space="preserve"> </w:t>
      </w:r>
      <w:r w:rsidRPr="001E1ED4">
        <w:t>5% of this amount for monitoring and evaluation costs is included in the separate concept notes on “Results Based Management – Managing for Results” (SNA Outcome 8)</w:t>
      </w:r>
      <w:r>
        <w:t>.</w:t>
      </w:r>
    </w:p>
  </w:footnote>
  <w:footnote w:id="6">
    <w:p w:rsidR="001A291E" w:rsidRDefault="001A291E">
      <w:pPr>
        <w:pStyle w:val="FootnoteText"/>
      </w:pPr>
      <w:r>
        <w:rPr>
          <w:rStyle w:val="FootnoteReference"/>
        </w:rPr>
        <w:footnoteRef/>
      </w:r>
      <w:r>
        <w:t xml:space="preserve"> </w:t>
      </w:r>
      <w:r w:rsidRPr="001E1ED4">
        <w:t>Out of this amount, about US$ 590,000 is allocated to targeted support upon demand from countries. See separate concept note on targeted support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1520"/>
    <w:multiLevelType w:val="hybridMultilevel"/>
    <w:tmpl w:val="2CF4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B47A8A"/>
    <w:multiLevelType w:val="hybridMultilevel"/>
    <w:tmpl w:val="AE58F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C94659"/>
    <w:multiLevelType w:val="hybridMultilevel"/>
    <w:tmpl w:val="C6B0C9BC"/>
    <w:lvl w:ilvl="0" w:tplc="04090001">
      <w:start w:val="1"/>
      <w:numFmt w:val="bullet"/>
      <w:lvlText w:val=""/>
      <w:lvlJc w:val="left"/>
      <w:pPr>
        <w:ind w:left="720" w:hanging="360"/>
      </w:pPr>
      <w:rPr>
        <w:rFonts w:ascii="Symbol" w:hAnsi="Symbol" w:hint="default"/>
      </w:rPr>
    </w:lvl>
    <w:lvl w:ilvl="1" w:tplc="6E04FDB4">
      <w:start w:val="1"/>
      <w:numFmt w:val="bullet"/>
      <w:lvlText w:val="o"/>
      <w:lvlJc w:val="left"/>
      <w:pPr>
        <w:ind w:left="1440" w:hanging="360"/>
      </w:pPr>
      <w:rPr>
        <w:rFonts w:ascii="Calibri" w:hAnsi="Calibri" w:hint="default"/>
        <w:b w:val="0"/>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83180E"/>
    <w:multiLevelType w:val="hybridMultilevel"/>
    <w:tmpl w:val="F5683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E70359"/>
    <w:multiLevelType w:val="hybridMultilevel"/>
    <w:tmpl w:val="53A66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D93313"/>
    <w:multiLevelType w:val="hybridMultilevel"/>
    <w:tmpl w:val="40A6AEDC"/>
    <w:lvl w:ilvl="0" w:tplc="E8C44B50">
      <w:start w:val="3"/>
      <w:numFmt w:val="bullet"/>
      <w:lvlText w:val="-"/>
      <w:lvlJc w:val="left"/>
      <w:pPr>
        <w:ind w:left="1080" w:hanging="360"/>
      </w:pPr>
      <w:rPr>
        <w:rFonts w:ascii="Calibri" w:eastAsiaTheme="minorEastAsia"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B1043C3"/>
    <w:multiLevelType w:val="hybridMultilevel"/>
    <w:tmpl w:val="868A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256685"/>
    <w:multiLevelType w:val="hybridMultilevel"/>
    <w:tmpl w:val="23304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C86A92"/>
    <w:multiLevelType w:val="hybridMultilevel"/>
    <w:tmpl w:val="C0B22830"/>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73D923A4"/>
    <w:multiLevelType w:val="hybridMultilevel"/>
    <w:tmpl w:val="01544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167C63"/>
    <w:multiLevelType w:val="hybridMultilevel"/>
    <w:tmpl w:val="DBA03BF6"/>
    <w:lvl w:ilvl="0" w:tplc="C204B9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10"/>
  </w:num>
  <w:num w:numId="4">
    <w:abstractNumId w:val="5"/>
  </w:num>
  <w:num w:numId="5">
    <w:abstractNumId w:val="1"/>
  </w:num>
  <w:num w:numId="6">
    <w:abstractNumId w:val="7"/>
  </w:num>
  <w:num w:numId="7">
    <w:abstractNumId w:val="3"/>
  </w:num>
  <w:num w:numId="8">
    <w:abstractNumId w:val="2"/>
  </w:num>
  <w:num w:numId="9">
    <w:abstractNumId w:val="4"/>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10E"/>
    <w:rsid w:val="000364F5"/>
    <w:rsid w:val="00044332"/>
    <w:rsid w:val="0011651D"/>
    <w:rsid w:val="001A291E"/>
    <w:rsid w:val="001E1ED4"/>
    <w:rsid w:val="00240061"/>
    <w:rsid w:val="003615C6"/>
    <w:rsid w:val="0036590B"/>
    <w:rsid w:val="00393EDE"/>
    <w:rsid w:val="003A3A42"/>
    <w:rsid w:val="004A3DDE"/>
    <w:rsid w:val="00556F48"/>
    <w:rsid w:val="005A0452"/>
    <w:rsid w:val="006F294D"/>
    <w:rsid w:val="00712F5B"/>
    <w:rsid w:val="00715198"/>
    <w:rsid w:val="007E2BF7"/>
    <w:rsid w:val="00906FE7"/>
    <w:rsid w:val="0092010E"/>
    <w:rsid w:val="0098675D"/>
    <w:rsid w:val="00986F65"/>
    <w:rsid w:val="009E71B3"/>
    <w:rsid w:val="00AA59B9"/>
    <w:rsid w:val="00AD13AA"/>
    <w:rsid w:val="00BB1E95"/>
    <w:rsid w:val="00BD21F8"/>
    <w:rsid w:val="00C241E7"/>
    <w:rsid w:val="00C448DB"/>
    <w:rsid w:val="00E143BE"/>
    <w:rsid w:val="00EA2E6B"/>
    <w:rsid w:val="00EB7A93"/>
    <w:rsid w:val="00F13BA6"/>
    <w:rsid w:val="00F15C94"/>
    <w:rsid w:val="00F66E35"/>
    <w:rsid w:val="00F92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10E"/>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01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92010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ListParagraph">
    <w:name w:val="List Paragraph"/>
    <w:basedOn w:val="Normal"/>
    <w:uiPriority w:val="34"/>
    <w:qFormat/>
    <w:rsid w:val="0092010E"/>
    <w:pPr>
      <w:ind w:left="720"/>
      <w:contextualSpacing/>
    </w:pPr>
  </w:style>
  <w:style w:type="paragraph" w:styleId="BalloonText">
    <w:name w:val="Balloon Text"/>
    <w:basedOn w:val="Normal"/>
    <w:link w:val="BalloonTextChar"/>
    <w:uiPriority w:val="99"/>
    <w:semiHidden/>
    <w:unhideWhenUsed/>
    <w:rsid w:val="0092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10E"/>
    <w:rPr>
      <w:rFonts w:ascii="Tahoma" w:eastAsiaTheme="minorEastAsia" w:hAnsi="Tahoma" w:cs="Tahoma"/>
      <w:sz w:val="16"/>
      <w:szCs w:val="16"/>
      <w:lang w:val="en-GB" w:eastAsia="en-GB"/>
    </w:rPr>
  </w:style>
  <w:style w:type="character" w:styleId="CommentReference">
    <w:name w:val="annotation reference"/>
    <w:basedOn w:val="DefaultParagraphFont"/>
    <w:uiPriority w:val="99"/>
    <w:semiHidden/>
    <w:unhideWhenUsed/>
    <w:rsid w:val="0092010E"/>
    <w:rPr>
      <w:sz w:val="16"/>
      <w:szCs w:val="16"/>
    </w:rPr>
  </w:style>
  <w:style w:type="paragraph" w:styleId="CommentText">
    <w:name w:val="annotation text"/>
    <w:basedOn w:val="Normal"/>
    <w:link w:val="CommentTextChar"/>
    <w:uiPriority w:val="99"/>
    <w:semiHidden/>
    <w:unhideWhenUsed/>
    <w:rsid w:val="0092010E"/>
    <w:pPr>
      <w:spacing w:line="240" w:lineRule="auto"/>
    </w:pPr>
    <w:rPr>
      <w:sz w:val="20"/>
      <w:szCs w:val="20"/>
    </w:rPr>
  </w:style>
  <w:style w:type="character" w:customStyle="1" w:styleId="CommentTextChar">
    <w:name w:val="Comment Text Char"/>
    <w:basedOn w:val="DefaultParagraphFont"/>
    <w:link w:val="CommentText"/>
    <w:uiPriority w:val="99"/>
    <w:semiHidden/>
    <w:rsid w:val="0092010E"/>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92010E"/>
    <w:rPr>
      <w:b/>
      <w:bCs/>
    </w:rPr>
  </w:style>
  <w:style w:type="character" w:customStyle="1" w:styleId="CommentSubjectChar">
    <w:name w:val="Comment Subject Char"/>
    <w:basedOn w:val="CommentTextChar"/>
    <w:link w:val="CommentSubject"/>
    <w:uiPriority w:val="99"/>
    <w:semiHidden/>
    <w:rsid w:val="0092010E"/>
    <w:rPr>
      <w:rFonts w:eastAsiaTheme="minorEastAsia"/>
      <w:b/>
      <w:bCs/>
      <w:sz w:val="20"/>
      <w:szCs w:val="20"/>
      <w:lang w:val="en-GB" w:eastAsia="en-GB"/>
    </w:rPr>
  </w:style>
  <w:style w:type="character" w:styleId="Hyperlink">
    <w:name w:val="Hyperlink"/>
    <w:basedOn w:val="DefaultParagraphFont"/>
    <w:uiPriority w:val="99"/>
    <w:unhideWhenUsed/>
    <w:rsid w:val="0036590B"/>
    <w:rPr>
      <w:color w:val="0000FF" w:themeColor="hyperlink"/>
      <w:u w:val="single"/>
    </w:rPr>
  </w:style>
  <w:style w:type="paragraph" w:styleId="FootnoteText">
    <w:name w:val="footnote text"/>
    <w:basedOn w:val="Normal"/>
    <w:link w:val="FootnoteTextChar"/>
    <w:uiPriority w:val="99"/>
    <w:unhideWhenUsed/>
    <w:rsid w:val="0036590B"/>
    <w:pPr>
      <w:spacing w:after="0" w:line="240" w:lineRule="auto"/>
    </w:pPr>
    <w:rPr>
      <w:sz w:val="20"/>
      <w:szCs w:val="20"/>
    </w:rPr>
  </w:style>
  <w:style w:type="character" w:customStyle="1" w:styleId="FootnoteTextChar">
    <w:name w:val="Footnote Text Char"/>
    <w:basedOn w:val="DefaultParagraphFont"/>
    <w:link w:val="FootnoteText"/>
    <w:uiPriority w:val="99"/>
    <w:rsid w:val="0036590B"/>
    <w:rPr>
      <w:rFonts w:eastAsiaTheme="minorEastAsia"/>
      <w:sz w:val="20"/>
      <w:szCs w:val="20"/>
      <w:lang w:val="en-GB" w:eastAsia="en-GB"/>
    </w:rPr>
  </w:style>
  <w:style w:type="character" w:styleId="FootnoteReference">
    <w:name w:val="footnote reference"/>
    <w:basedOn w:val="DefaultParagraphFont"/>
    <w:uiPriority w:val="99"/>
    <w:unhideWhenUsed/>
    <w:rsid w:val="0036590B"/>
    <w:rPr>
      <w:vertAlign w:val="superscript"/>
    </w:rPr>
  </w:style>
  <w:style w:type="paragraph" w:styleId="Header">
    <w:name w:val="header"/>
    <w:basedOn w:val="Normal"/>
    <w:link w:val="HeaderChar"/>
    <w:uiPriority w:val="99"/>
    <w:unhideWhenUsed/>
    <w:rsid w:val="00393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EDE"/>
    <w:rPr>
      <w:rFonts w:eastAsiaTheme="minorEastAsia"/>
      <w:lang w:val="en-GB" w:eastAsia="en-GB"/>
    </w:rPr>
  </w:style>
  <w:style w:type="paragraph" w:styleId="Footer">
    <w:name w:val="footer"/>
    <w:basedOn w:val="Normal"/>
    <w:link w:val="FooterChar"/>
    <w:uiPriority w:val="99"/>
    <w:unhideWhenUsed/>
    <w:rsid w:val="00393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EDE"/>
    <w:rPr>
      <w:rFonts w:eastAsiaTheme="minorEastAsia"/>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10E"/>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01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92010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ListParagraph">
    <w:name w:val="List Paragraph"/>
    <w:basedOn w:val="Normal"/>
    <w:uiPriority w:val="34"/>
    <w:qFormat/>
    <w:rsid w:val="0092010E"/>
    <w:pPr>
      <w:ind w:left="720"/>
      <w:contextualSpacing/>
    </w:pPr>
  </w:style>
  <w:style w:type="paragraph" w:styleId="BalloonText">
    <w:name w:val="Balloon Text"/>
    <w:basedOn w:val="Normal"/>
    <w:link w:val="BalloonTextChar"/>
    <w:uiPriority w:val="99"/>
    <w:semiHidden/>
    <w:unhideWhenUsed/>
    <w:rsid w:val="0092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10E"/>
    <w:rPr>
      <w:rFonts w:ascii="Tahoma" w:eastAsiaTheme="minorEastAsia" w:hAnsi="Tahoma" w:cs="Tahoma"/>
      <w:sz w:val="16"/>
      <w:szCs w:val="16"/>
      <w:lang w:val="en-GB" w:eastAsia="en-GB"/>
    </w:rPr>
  </w:style>
  <w:style w:type="character" w:styleId="CommentReference">
    <w:name w:val="annotation reference"/>
    <w:basedOn w:val="DefaultParagraphFont"/>
    <w:uiPriority w:val="99"/>
    <w:semiHidden/>
    <w:unhideWhenUsed/>
    <w:rsid w:val="0092010E"/>
    <w:rPr>
      <w:sz w:val="16"/>
      <w:szCs w:val="16"/>
    </w:rPr>
  </w:style>
  <w:style w:type="paragraph" w:styleId="CommentText">
    <w:name w:val="annotation text"/>
    <w:basedOn w:val="Normal"/>
    <w:link w:val="CommentTextChar"/>
    <w:uiPriority w:val="99"/>
    <w:semiHidden/>
    <w:unhideWhenUsed/>
    <w:rsid w:val="0092010E"/>
    <w:pPr>
      <w:spacing w:line="240" w:lineRule="auto"/>
    </w:pPr>
    <w:rPr>
      <w:sz w:val="20"/>
      <w:szCs w:val="20"/>
    </w:rPr>
  </w:style>
  <w:style w:type="character" w:customStyle="1" w:styleId="CommentTextChar">
    <w:name w:val="Comment Text Char"/>
    <w:basedOn w:val="DefaultParagraphFont"/>
    <w:link w:val="CommentText"/>
    <w:uiPriority w:val="99"/>
    <w:semiHidden/>
    <w:rsid w:val="0092010E"/>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92010E"/>
    <w:rPr>
      <w:b/>
      <w:bCs/>
    </w:rPr>
  </w:style>
  <w:style w:type="character" w:customStyle="1" w:styleId="CommentSubjectChar">
    <w:name w:val="Comment Subject Char"/>
    <w:basedOn w:val="CommentTextChar"/>
    <w:link w:val="CommentSubject"/>
    <w:uiPriority w:val="99"/>
    <w:semiHidden/>
    <w:rsid w:val="0092010E"/>
    <w:rPr>
      <w:rFonts w:eastAsiaTheme="minorEastAsia"/>
      <w:b/>
      <w:bCs/>
      <w:sz w:val="20"/>
      <w:szCs w:val="20"/>
      <w:lang w:val="en-GB" w:eastAsia="en-GB"/>
    </w:rPr>
  </w:style>
  <w:style w:type="character" w:styleId="Hyperlink">
    <w:name w:val="Hyperlink"/>
    <w:basedOn w:val="DefaultParagraphFont"/>
    <w:uiPriority w:val="99"/>
    <w:unhideWhenUsed/>
    <w:rsid w:val="0036590B"/>
    <w:rPr>
      <w:color w:val="0000FF" w:themeColor="hyperlink"/>
      <w:u w:val="single"/>
    </w:rPr>
  </w:style>
  <w:style w:type="paragraph" w:styleId="FootnoteText">
    <w:name w:val="footnote text"/>
    <w:basedOn w:val="Normal"/>
    <w:link w:val="FootnoteTextChar"/>
    <w:uiPriority w:val="99"/>
    <w:unhideWhenUsed/>
    <w:rsid w:val="0036590B"/>
    <w:pPr>
      <w:spacing w:after="0" w:line="240" w:lineRule="auto"/>
    </w:pPr>
    <w:rPr>
      <w:sz w:val="20"/>
      <w:szCs w:val="20"/>
    </w:rPr>
  </w:style>
  <w:style w:type="character" w:customStyle="1" w:styleId="FootnoteTextChar">
    <w:name w:val="Footnote Text Char"/>
    <w:basedOn w:val="DefaultParagraphFont"/>
    <w:link w:val="FootnoteText"/>
    <w:uiPriority w:val="99"/>
    <w:rsid w:val="0036590B"/>
    <w:rPr>
      <w:rFonts w:eastAsiaTheme="minorEastAsia"/>
      <w:sz w:val="20"/>
      <w:szCs w:val="20"/>
      <w:lang w:val="en-GB" w:eastAsia="en-GB"/>
    </w:rPr>
  </w:style>
  <w:style w:type="character" w:styleId="FootnoteReference">
    <w:name w:val="footnote reference"/>
    <w:basedOn w:val="DefaultParagraphFont"/>
    <w:uiPriority w:val="99"/>
    <w:unhideWhenUsed/>
    <w:rsid w:val="0036590B"/>
    <w:rPr>
      <w:vertAlign w:val="superscript"/>
    </w:rPr>
  </w:style>
  <w:style w:type="paragraph" w:styleId="Header">
    <w:name w:val="header"/>
    <w:basedOn w:val="Normal"/>
    <w:link w:val="HeaderChar"/>
    <w:uiPriority w:val="99"/>
    <w:unhideWhenUsed/>
    <w:rsid w:val="00393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EDE"/>
    <w:rPr>
      <w:rFonts w:eastAsiaTheme="minorEastAsia"/>
      <w:lang w:val="en-GB" w:eastAsia="en-GB"/>
    </w:rPr>
  </w:style>
  <w:style w:type="paragraph" w:styleId="Footer">
    <w:name w:val="footer"/>
    <w:basedOn w:val="Normal"/>
    <w:link w:val="FooterChar"/>
    <w:uiPriority w:val="99"/>
    <w:unhideWhenUsed/>
    <w:rsid w:val="00393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EDE"/>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redd.net/index.php?option=com_docman&amp;task=doc_download&amp;gid=10468&amp;Itemid=5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redd.net/index.php?option=com_docman&amp;task=doc_download&amp;gid=9007&amp;Itemid=5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redd.net/index.php?option=com_docman&amp;task=doc_download&amp;gid=10177&amp;Itemid=5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redd.net/index.php?option=com_docman&amp;task=doc_download&amp;gid=4598&amp;Itemid=5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76925-0552-41DC-90DC-EE190BCA7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2395</Words>
  <Characters>13654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ERIKSSON</cp:lastModifiedBy>
  <cp:revision>2</cp:revision>
  <dcterms:created xsi:type="dcterms:W3CDTF">2013-10-24T08:03:00Z</dcterms:created>
  <dcterms:modified xsi:type="dcterms:W3CDTF">2013-10-24T08:03:00Z</dcterms:modified>
</cp:coreProperties>
</file>