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10E" w:rsidRPr="00F13D55" w:rsidRDefault="00A0730B" w:rsidP="0092010E">
      <w:pPr>
        <w:rPr>
          <w:b/>
          <w:color w:val="000000" w:themeColor="text1"/>
          <w:sz w:val="32"/>
          <w:szCs w:val="32"/>
        </w:rPr>
      </w:pPr>
      <w:r>
        <w:rPr>
          <w:b/>
          <w:i/>
          <w:noProof/>
          <w:color w:val="000000" w:themeColor="text1"/>
          <w:sz w:val="28"/>
          <w:szCs w:val="28"/>
        </w:rPr>
        <mc:AlternateContent>
          <mc:Choice Requires="wps">
            <w:drawing>
              <wp:anchor distT="0" distB="0" distL="114300" distR="114300" simplePos="0" relativeHeight="251660288" behindDoc="0" locked="0" layoutInCell="1" allowOverlap="1" wp14:anchorId="434DDA50" wp14:editId="1CBD0CF3">
                <wp:simplePos x="0" y="0"/>
                <wp:positionH relativeFrom="column">
                  <wp:posOffset>1800225</wp:posOffset>
                </wp:positionH>
                <wp:positionV relativeFrom="paragraph">
                  <wp:posOffset>25612</wp:posOffset>
                </wp:positionV>
                <wp:extent cx="4210050" cy="101917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019175"/>
                        </a:xfrm>
                        <a:prstGeom prst="rect">
                          <a:avLst/>
                        </a:prstGeom>
                        <a:solidFill>
                          <a:srgbClr val="FFFFFF"/>
                        </a:solidFill>
                        <a:ln w="9525">
                          <a:noFill/>
                          <a:miter lim="800000"/>
                          <a:headEnd/>
                          <a:tailEnd/>
                        </a:ln>
                      </wps:spPr>
                      <wps:txbx>
                        <w:txbxContent>
                          <w:p w:rsidR="00CF3EB2" w:rsidRPr="0092010E" w:rsidRDefault="00CF3EB2" w:rsidP="0092010E">
                            <w:r w:rsidRPr="00A0730B">
                              <w:rPr>
                                <w:b/>
                                <w:sz w:val="32"/>
                              </w:rPr>
                              <w:t>Scaling up Participation, Engagement and Representation of Indigenous Peoples, Civil Society and Other Stakeholders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1.75pt;margin-top:2pt;width:331.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" stroked="f">
                <v:textbox>
                  <w:txbxContent>
                    <w:p w:rsidR="0092010E" w:rsidRPr="0092010E" w:rsidRDefault="00A0730B" w:rsidP="0092010E">
                      <w:r w:rsidRPr="00A0730B">
                        <w:rPr>
                          <w:b/>
                          <w:sz w:val="32"/>
                        </w:rPr>
                        <w:t>Scaling up Participation, Engagement and Representation of Indigenous Peoples, Civil Society and Other Stakeholders</w:t>
                      </w:r>
                    </w:p>
                  </w:txbxContent>
                </v:textbox>
              </v:shape>
            </w:pict>
          </mc:Fallback>
        </mc:AlternateContent>
      </w:r>
      <w:r w:rsidRPr="00F13D55">
        <w:rPr>
          <w:noProof/>
        </w:rPr>
        <w:drawing>
          <wp:anchor distT="0" distB="0" distL="114300" distR="114300" simplePos="0" relativeHeight="251659264" behindDoc="1" locked="0" layoutInCell="1" allowOverlap="1" wp14:anchorId="685F5777" wp14:editId="2CAB50F7">
            <wp:simplePos x="0" y="0"/>
            <wp:positionH relativeFrom="column">
              <wp:posOffset>-127000</wp:posOffset>
            </wp:positionH>
            <wp:positionV relativeFrom="paragraph">
              <wp:posOffset>-73237</wp:posOffset>
            </wp:positionV>
            <wp:extent cx="1456055" cy="1095375"/>
            <wp:effectExtent l="0" t="0" r="0" b="9525"/>
            <wp:wrapNone/>
            <wp:docPr id="1" name="Picture 1" descr="UN-REDD_full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_full_logo_EN"/>
                    <pic:cNvPicPr>
                      <a:picLocks noChangeAspect="1" noChangeArrowheads="1"/>
                    </pic:cNvPicPr>
                  </pic:nvPicPr>
                  <pic:blipFill>
                    <a:blip r:embed="rId9" cstate="print"/>
                    <a:srcRect/>
                    <a:stretch>
                      <a:fillRect/>
                    </a:stretch>
                  </pic:blipFill>
                  <pic:spPr bwMode="auto">
                    <a:xfrm>
                      <a:off x="0" y="0"/>
                      <a:ext cx="1456055" cy="1095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2010E">
        <w:rPr>
          <w:b/>
          <w:noProof/>
          <w:color w:val="000000" w:themeColor="text1"/>
          <w:sz w:val="32"/>
          <w:szCs w:val="32"/>
        </w:rPr>
        <mc:AlternateContent>
          <mc:Choice Requires="wps">
            <w:drawing>
              <wp:anchor distT="0" distB="0" distL="114300" distR="114300" simplePos="0" relativeHeight="251661312" behindDoc="0" locked="0" layoutInCell="1" allowOverlap="1" wp14:anchorId="37AC8505" wp14:editId="7077F4D8">
                <wp:simplePos x="0" y="0"/>
                <wp:positionH relativeFrom="column">
                  <wp:posOffset>3638550</wp:posOffset>
                </wp:positionH>
                <wp:positionV relativeFrom="paragraph">
                  <wp:posOffset>-409575</wp:posOffset>
                </wp:positionV>
                <wp:extent cx="2371725" cy="409575"/>
                <wp:effectExtent l="0" t="0" r="381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09575"/>
                        </a:xfrm>
                        <a:prstGeom prst="rect">
                          <a:avLst/>
                        </a:prstGeom>
                        <a:solidFill>
                          <a:srgbClr val="FFFFFF"/>
                        </a:solidFill>
                        <a:ln w="9525">
                          <a:noFill/>
                          <a:miter lim="800000"/>
                          <a:headEnd/>
                          <a:tailEnd/>
                        </a:ln>
                      </wps:spPr>
                      <wps:txbx>
                        <w:txbxContent>
                          <w:p w:rsidR="00CF3EB2" w:rsidRPr="00460EFD" w:rsidRDefault="00CF3EB2" w:rsidP="0092010E">
                            <w:pPr>
                              <w:spacing w:after="0"/>
                              <w:jc w:val="right"/>
                              <w:rPr>
                                <w:b/>
                                <w:color w:val="000000" w:themeColor="text1"/>
                                <w:sz w:val="32"/>
                                <w:szCs w:val="32"/>
                              </w:rPr>
                            </w:pPr>
                            <w:r>
                              <w:rPr>
                                <w:b/>
                                <w:color w:val="000000" w:themeColor="text1"/>
                                <w:sz w:val="32"/>
                                <w:szCs w:val="32"/>
                              </w:rPr>
                              <w:t>CONCEPT NOTE</w:t>
                            </w:r>
                          </w:p>
                          <w:p w:rsidR="00CF3EB2" w:rsidRDefault="00CF3EB2" w:rsidP="0092010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286.5pt;margin-top:-32.25pt;width:186.75pt;height:32.2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" stroked="f">
                <v:textbox>
                  <w:txbxContent>
                    <w:p w:rsidR="0092010E" w:rsidRPr="00460EFD" w:rsidRDefault="0092010E" w:rsidP="0092010E">
                      <w:pPr>
                        <w:spacing w:after="0"/>
                        <w:jc w:val="right"/>
                        <w:rPr>
                          <w:b/>
                          <w:color w:val="000000" w:themeColor="text1"/>
                          <w:sz w:val="32"/>
                          <w:szCs w:val="32"/>
                        </w:rPr>
                      </w:pPr>
                      <w:r>
                        <w:rPr>
                          <w:b/>
                          <w:color w:val="000000" w:themeColor="text1"/>
                          <w:sz w:val="32"/>
                          <w:szCs w:val="32"/>
                        </w:rPr>
                        <w:t>CONCEPT NOTE</w:t>
                      </w:r>
                    </w:p>
                    <w:p w:rsidR="0092010E" w:rsidRDefault="0092010E" w:rsidP="0092010E"/>
                  </w:txbxContent>
                </v:textbox>
              </v:shape>
            </w:pict>
          </mc:Fallback>
        </mc:AlternateContent>
      </w:r>
    </w:p>
    <w:p w:rsidR="0092010E" w:rsidRPr="00F13D55" w:rsidRDefault="0092010E" w:rsidP="0092010E">
      <w:pPr>
        <w:spacing w:after="0"/>
        <w:ind w:left="2880" w:hanging="2880"/>
        <w:jc w:val="center"/>
        <w:rPr>
          <w:b/>
          <w:i/>
          <w:color w:val="000000" w:themeColor="text1"/>
          <w:sz w:val="28"/>
          <w:szCs w:val="28"/>
        </w:rPr>
      </w:pPr>
    </w:p>
    <w:p w:rsidR="0092010E" w:rsidRPr="00F13D55" w:rsidRDefault="0092010E" w:rsidP="0092010E">
      <w:pPr>
        <w:rPr>
          <w:b/>
          <w:sz w:val="28"/>
          <w:szCs w:val="28"/>
        </w:rPr>
      </w:pPr>
      <w:r w:rsidRPr="00F13D55">
        <w:rPr>
          <w:b/>
          <w:i/>
          <w:color w:val="000000" w:themeColor="text1"/>
          <w:sz w:val="28"/>
          <w:szCs w:val="28"/>
        </w:rPr>
        <w:t xml:space="preserve">   </w:t>
      </w:r>
      <w:r w:rsidRPr="00F13D55">
        <w:rPr>
          <w:b/>
          <w:i/>
          <w:color w:val="000000" w:themeColor="text1"/>
          <w:sz w:val="28"/>
          <w:szCs w:val="28"/>
        </w:rPr>
        <w:tab/>
      </w:r>
    </w:p>
    <w:tbl>
      <w:tblPr>
        <w:tblStyle w:val="MediumGrid3-Accent1"/>
        <w:tblW w:w="0" w:type="auto"/>
        <w:tblLook w:val="04A0" w:firstRow="1" w:lastRow="0" w:firstColumn="1" w:lastColumn="0" w:noHBand="0" w:noVBand="1"/>
      </w:tblPr>
      <w:tblGrid>
        <w:gridCol w:w="2518"/>
        <w:gridCol w:w="6662"/>
      </w:tblGrid>
      <w:tr w:rsidR="0092010E" w:rsidTr="00A073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92010E" w:rsidRPr="00A0730B" w:rsidRDefault="0092010E">
            <w:r w:rsidRPr="00A0730B">
              <w:t>I. Summary</w:t>
            </w:r>
          </w:p>
        </w:tc>
      </w:tr>
      <w:tr w:rsidR="0092010E" w:rsidTr="00A073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92010E" w:rsidRPr="00A0730B" w:rsidRDefault="0092010E" w:rsidP="0098675D">
            <w:pPr>
              <w:spacing w:before="240"/>
            </w:pPr>
            <w:r w:rsidRPr="00A0730B">
              <w:t>Objective</w:t>
            </w:r>
          </w:p>
        </w:tc>
        <w:tc>
          <w:tcPr>
            <w:tcW w:w="6662" w:type="dxa"/>
            <w:shd w:val="clear" w:color="auto" w:fill="DBE5F1" w:themeFill="accent1" w:themeFillTint="33"/>
          </w:tcPr>
          <w:p w:rsidR="0098675D" w:rsidRPr="00A0730B" w:rsidRDefault="00A0730B" w:rsidP="00A0730B">
            <w:pPr>
              <w:spacing w:before="24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A0730B">
              <w:rPr>
                <w:sz w:val="20"/>
                <w:szCs w:val="20"/>
              </w:rPr>
              <w:t>To respond to increased demand to improve participation, engagement and representation of indigenous peoples (IPs), civil society organizations (CSOs) and other stakeholders in Partner Countries</w:t>
            </w:r>
          </w:p>
        </w:tc>
      </w:tr>
      <w:tr w:rsidR="0092010E" w:rsidTr="00A0730B">
        <w:tc>
          <w:tcPr>
            <w:cnfStyle w:val="001000000000" w:firstRow="0" w:lastRow="0" w:firstColumn="1" w:lastColumn="0" w:oddVBand="0" w:evenVBand="0" w:oddHBand="0" w:evenHBand="0" w:firstRowFirstColumn="0" w:firstRowLastColumn="0" w:lastRowFirstColumn="0" w:lastRowLastColumn="0"/>
            <w:tcW w:w="2518" w:type="dxa"/>
          </w:tcPr>
          <w:p w:rsidR="0092010E" w:rsidRPr="00A0730B" w:rsidRDefault="0092010E" w:rsidP="0098675D">
            <w:pPr>
              <w:spacing w:before="240"/>
            </w:pPr>
            <w:r w:rsidRPr="00A0730B">
              <w:t>Expected results</w:t>
            </w:r>
          </w:p>
        </w:tc>
        <w:tc>
          <w:tcPr>
            <w:tcW w:w="6662" w:type="dxa"/>
            <w:shd w:val="clear" w:color="auto" w:fill="DBE5F1" w:themeFill="accent1" w:themeFillTint="33"/>
          </w:tcPr>
          <w:p w:rsidR="00A0730B" w:rsidRPr="00A0730B" w:rsidRDefault="00A0730B" w:rsidP="00A0730B">
            <w:pPr>
              <w:spacing w:before="24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A0730B">
              <w:rPr>
                <w:sz w:val="20"/>
                <w:szCs w:val="20"/>
              </w:rPr>
              <w:t>1. Supported countries apply UN-REDD guidance related to stakeholder engagement concretely in national REDD+ activities</w:t>
            </w:r>
          </w:p>
          <w:p w:rsidR="00A0730B" w:rsidRPr="00A0730B" w:rsidRDefault="00A0730B" w:rsidP="00A0730B">
            <w:pPr>
              <w:spacing w:before="24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A0730B">
              <w:rPr>
                <w:sz w:val="20"/>
                <w:szCs w:val="20"/>
              </w:rPr>
              <w:t>2. Supported countries have strong mechanisms and institutions to ensure the full and effective participation of stakeholders in national REDD+ processes</w:t>
            </w:r>
          </w:p>
          <w:p w:rsidR="0092010E" w:rsidRPr="00A0730B" w:rsidRDefault="00A0730B" w:rsidP="00A0730B">
            <w:pPr>
              <w:spacing w:before="24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A0730B">
              <w:rPr>
                <w:sz w:val="20"/>
                <w:szCs w:val="20"/>
              </w:rPr>
              <w:t>3. Supported countries' capacity to ensure full and effective participation is increased and  knowledge based on practical experience of best practice on engaging IPs, and CSOs and other stakeholders in supported countries is shared effectively</w:t>
            </w:r>
          </w:p>
        </w:tc>
      </w:tr>
      <w:tr w:rsidR="0092010E" w:rsidTr="00A073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92010E" w:rsidRPr="00A0730B" w:rsidRDefault="0092010E" w:rsidP="0098675D">
            <w:pPr>
              <w:spacing w:before="240"/>
            </w:pPr>
            <w:r w:rsidRPr="00A0730B">
              <w:t>Level of intervention</w:t>
            </w:r>
          </w:p>
        </w:tc>
        <w:tc>
          <w:tcPr>
            <w:tcW w:w="6662" w:type="dxa"/>
            <w:shd w:val="clear" w:color="auto" w:fill="DBE5F1" w:themeFill="accent1" w:themeFillTint="33"/>
          </w:tcPr>
          <w:p w:rsidR="0098675D" w:rsidRPr="00A0730B" w:rsidRDefault="00A0730B" w:rsidP="00A0730B">
            <w:pPr>
              <w:spacing w:before="24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A0730B">
              <w:rPr>
                <w:sz w:val="20"/>
                <w:szCs w:val="20"/>
              </w:rPr>
              <w:t>Global, regional and national</w:t>
            </w:r>
          </w:p>
        </w:tc>
      </w:tr>
      <w:tr w:rsidR="0092010E" w:rsidTr="00A0730B">
        <w:tc>
          <w:tcPr>
            <w:cnfStyle w:val="001000000000" w:firstRow="0" w:lastRow="0" w:firstColumn="1" w:lastColumn="0" w:oddVBand="0" w:evenVBand="0" w:oddHBand="0" w:evenHBand="0" w:firstRowFirstColumn="0" w:firstRowLastColumn="0" w:lastRowFirstColumn="0" w:lastRowLastColumn="0"/>
            <w:tcW w:w="2518" w:type="dxa"/>
          </w:tcPr>
          <w:p w:rsidR="0092010E" w:rsidRPr="00A0730B" w:rsidRDefault="0036590B" w:rsidP="0098675D">
            <w:pPr>
              <w:spacing w:before="240"/>
            </w:pPr>
            <w:r w:rsidRPr="00A0730B">
              <w:t>Related work a</w:t>
            </w:r>
            <w:r w:rsidR="0092010E" w:rsidRPr="00A0730B">
              <w:t xml:space="preserve">rea, as defined in the </w:t>
            </w:r>
            <w:hyperlink r:id="rId10" w:history="1">
              <w:r w:rsidR="0092010E" w:rsidRPr="00A0730B">
                <w:rPr>
                  <w:rStyle w:val="Hyperlink"/>
                  <w:bCs w:val="0"/>
                  <w:color w:val="FFFFFF" w:themeColor="background1"/>
                </w:rPr>
                <w:t>UN-REDD Programme Strategy</w:t>
              </w:r>
            </w:hyperlink>
            <w:r w:rsidRPr="00A0730B">
              <w:rPr>
                <w:rStyle w:val="FootnoteReference"/>
              </w:rPr>
              <w:footnoteReference w:id="1"/>
            </w:r>
          </w:p>
        </w:tc>
        <w:tc>
          <w:tcPr>
            <w:tcW w:w="6662" w:type="dxa"/>
            <w:shd w:val="clear" w:color="auto" w:fill="DBE5F1" w:themeFill="accent1" w:themeFillTint="33"/>
          </w:tcPr>
          <w:p w:rsidR="00A0730B" w:rsidRPr="00A0730B" w:rsidRDefault="00A0730B" w:rsidP="00A0730B">
            <w:pPr>
              <w:spacing w:before="24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A0730B">
              <w:rPr>
                <w:sz w:val="20"/>
                <w:szCs w:val="20"/>
              </w:rPr>
              <w:t>Stakeholder Engagement</w:t>
            </w:r>
          </w:p>
          <w:p w:rsidR="0098675D" w:rsidRPr="00A0730B" w:rsidRDefault="00A0730B" w:rsidP="00A0730B">
            <w:pPr>
              <w:spacing w:before="24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A0730B">
              <w:rPr>
                <w:sz w:val="20"/>
                <w:szCs w:val="20"/>
              </w:rPr>
              <w:t>The proposal refers to Outcome 4, “Indigenous peoples, local communities, civil society organizations and other stakeholders participate effectively in national and international REDD+ decision making, strategy development and implementation” of the Support to National REDD+ Action: Global Programme Framework 2011-2015 (SNA). With increasing demand from both stakeholders and countries for assistance in this area, this funding will be used to provide support to more countries to progress in stakeholder engagement in REDD+ as well as to further important technical areas, such as grievance and FPIC.</w:t>
            </w:r>
          </w:p>
        </w:tc>
      </w:tr>
      <w:tr w:rsidR="0092010E" w:rsidTr="00A073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92010E" w:rsidRPr="00A0730B" w:rsidRDefault="00EB7A93" w:rsidP="0098675D">
            <w:pPr>
              <w:spacing w:before="240"/>
            </w:pPr>
            <w:r w:rsidRPr="00A0730B">
              <w:t>Total concept d</w:t>
            </w:r>
            <w:r w:rsidR="0092010E" w:rsidRPr="00A0730B">
              <w:t>uration</w:t>
            </w:r>
          </w:p>
        </w:tc>
        <w:tc>
          <w:tcPr>
            <w:tcW w:w="6662" w:type="dxa"/>
            <w:shd w:val="clear" w:color="auto" w:fill="DBE5F1" w:themeFill="accent1" w:themeFillTint="33"/>
          </w:tcPr>
          <w:p w:rsidR="0098675D" w:rsidRPr="00A0730B" w:rsidRDefault="00EB7A93" w:rsidP="00A0730B">
            <w:pPr>
              <w:spacing w:before="24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A0730B">
              <w:rPr>
                <w:sz w:val="20"/>
                <w:szCs w:val="20"/>
              </w:rPr>
              <w:t xml:space="preserve">1 January 2014 - 31 December 2015 (24 months) </w:t>
            </w:r>
          </w:p>
        </w:tc>
      </w:tr>
      <w:tr w:rsidR="0092010E" w:rsidTr="00A0730B">
        <w:tc>
          <w:tcPr>
            <w:cnfStyle w:val="001000000000" w:firstRow="0" w:lastRow="0" w:firstColumn="1" w:lastColumn="0" w:oddVBand="0" w:evenVBand="0" w:oddHBand="0" w:evenHBand="0" w:firstRowFirstColumn="0" w:firstRowLastColumn="0" w:lastRowFirstColumn="0" w:lastRowLastColumn="0"/>
            <w:tcW w:w="2518" w:type="dxa"/>
          </w:tcPr>
          <w:p w:rsidR="0092010E" w:rsidRPr="00A0730B" w:rsidRDefault="00EB7A93" w:rsidP="00EB7A93">
            <w:pPr>
              <w:spacing w:before="240"/>
            </w:pPr>
            <w:r w:rsidRPr="00A0730B">
              <w:t>Total concept amount</w:t>
            </w:r>
          </w:p>
        </w:tc>
        <w:tc>
          <w:tcPr>
            <w:tcW w:w="6662" w:type="dxa"/>
            <w:shd w:val="clear" w:color="auto" w:fill="DBE5F1" w:themeFill="accent1" w:themeFillTint="33"/>
          </w:tcPr>
          <w:p w:rsidR="0098675D" w:rsidRPr="00A0730B" w:rsidRDefault="00A0730B" w:rsidP="00A0730B">
            <w:pPr>
              <w:spacing w:before="240"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A0730B">
              <w:rPr>
                <w:sz w:val="20"/>
                <w:szCs w:val="20"/>
              </w:rPr>
              <w:t>US$ 3,429,350</w:t>
            </w:r>
          </w:p>
        </w:tc>
      </w:tr>
      <w:tr w:rsidR="00EB7A93" w:rsidTr="00A073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EB7A93" w:rsidRPr="00A0730B" w:rsidRDefault="00EB7A93" w:rsidP="00EB7A93">
            <w:pPr>
              <w:spacing w:before="240"/>
            </w:pPr>
            <w:r w:rsidRPr="00A0730B">
              <w:t xml:space="preserve">Total amount requested </w:t>
            </w:r>
          </w:p>
        </w:tc>
        <w:tc>
          <w:tcPr>
            <w:tcW w:w="6662" w:type="dxa"/>
            <w:shd w:val="clear" w:color="auto" w:fill="DBE5F1" w:themeFill="accent1" w:themeFillTint="33"/>
          </w:tcPr>
          <w:p w:rsidR="00A0730B" w:rsidRPr="00A0730B" w:rsidRDefault="00A0730B" w:rsidP="00A0730B">
            <w:pPr>
              <w:spacing w:before="240"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A0730B">
              <w:rPr>
                <w:sz w:val="20"/>
                <w:szCs w:val="20"/>
              </w:rPr>
              <w:t>US$1,904,600</w:t>
            </w:r>
            <w:r w:rsidRPr="00CF2752">
              <w:rPr>
                <w:rStyle w:val="FootnoteReference"/>
                <w:color w:val="000000"/>
                <w:sz w:val="20"/>
                <w:szCs w:val="20"/>
              </w:rPr>
              <w:footnoteReference w:id="2"/>
            </w:r>
            <w:r w:rsidRPr="00CF2752">
              <w:rPr>
                <w:rFonts w:cs="Calibri"/>
                <w:color w:val="000000"/>
                <w:sz w:val="20"/>
                <w:szCs w:val="20"/>
              </w:rPr>
              <w:t xml:space="preserve"> </w:t>
            </w:r>
            <w:r w:rsidRPr="00A0730B">
              <w:rPr>
                <w:sz w:val="20"/>
                <w:szCs w:val="20"/>
              </w:rPr>
              <w:t>for activities to be undertaken until 31 December 2014</w:t>
            </w:r>
          </w:p>
        </w:tc>
      </w:tr>
    </w:tbl>
    <w:p w:rsidR="00A0730B" w:rsidRDefault="00A0730B">
      <w:r>
        <w:rPr>
          <w:b/>
          <w:bCs/>
        </w:rPr>
        <w:br w:type="page"/>
      </w:r>
    </w:p>
    <w:tbl>
      <w:tblPr>
        <w:tblStyle w:val="MediumGrid3-Accent1"/>
        <w:tblW w:w="0" w:type="auto"/>
        <w:tblLook w:val="04A0" w:firstRow="1" w:lastRow="0" w:firstColumn="1" w:lastColumn="0" w:noHBand="0" w:noVBand="1"/>
      </w:tblPr>
      <w:tblGrid>
        <w:gridCol w:w="9576"/>
      </w:tblGrid>
      <w:tr w:rsidR="0092010E" w:rsidTr="009201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pPr>
              <w:rPr>
                <w:sz w:val="24"/>
                <w:szCs w:val="24"/>
              </w:rPr>
            </w:pPr>
            <w:r w:rsidRPr="006F294D">
              <w:rPr>
                <w:sz w:val="24"/>
                <w:szCs w:val="24"/>
              </w:rPr>
              <w:lastRenderedPageBreak/>
              <w:t>II. Background</w:t>
            </w:r>
          </w:p>
        </w:tc>
      </w:tr>
      <w:tr w:rsidR="0092010E" w:rsidTr="009201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A0730B" w:rsidRDefault="00A0730B" w:rsidP="0070400E">
            <w:pPr>
              <w:spacing w:before="240" w:line="276" w:lineRule="auto"/>
              <w:rPr>
                <w:b w:val="0"/>
                <w:color w:val="auto"/>
              </w:rPr>
            </w:pPr>
            <w:r w:rsidRPr="00A0730B">
              <w:rPr>
                <w:b w:val="0"/>
                <w:color w:val="auto"/>
              </w:rPr>
              <w:t>Through direct activity support to countries and, more recently, using the Targeted Support modality, the UN-REDD Programme has been able to provide catalysing support to Partner Countries for the participation of indigenous peoples (IPs) and civil society organizations (CSOs) in REDD+. This has included the development and application of stakeholder engagement guidance in countries (e.g., the Joint UN-REDD and FCPF Stakeholder Engagement Guidelines; UN-REDD Guidelines on Free, Prior and Informed Consent (FPIC)) and supporting early stakeholder participation processes and systems to ensure that robust mechanisms and platforms exist to support meaningful, full and effective stakeholder engagement.</w:t>
            </w:r>
          </w:p>
          <w:p w:rsidR="00A0730B" w:rsidRDefault="00A0730B" w:rsidP="0070400E">
            <w:pPr>
              <w:spacing w:before="240" w:line="276" w:lineRule="auto"/>
              <w:rPr>
                <w:b w:val="0"/>
                <w:color w:val="auto"/>
              </w:rPr>
            </w:pPr>
            <w:r w:rsidRPr="00A0730B">
              <w:rPr>
                <w:b w:val="0"/>
                <w:color w:val="auto"/>
              </w:rPr>
              <w:t xml:space="preserve">The UN-REDD Programme budget submission at the Ninth Policy Board Meeting in October 2012 reflected a number of budget reductions, including a budget reduction for the work area on stakeholder engagement under Outcome 4, </w:t>
            </w:r>
            <w:r w:rsidRPr="00A0730B">
              <w:rPr>
                <w:b w:val="0"/>
                <w:i/>
                <w:color w:val="auto"/>
              </w:rPr>
              <w:t>“Indigenous Peoples, local communities, civil society organizations and other stakeholders participate effectively in national and international REDD+ decision making, strategy development and implementation</w:t>
            </w:r>
            <w:r>
              <w:rPr>
                <w:b w:val="0"/>
                <w:i/>
                <w:color w:val="auto"/>
              </w:rPr>
              <w:t>.</w:t>
            </w:r>
            <w:r w:rsidRPr="00A0730B">
              <w:rPr>
                <w:b w:val="0"/>
                <w:i/>
                <w:color w:val="auto"/>
              </w:rPr>
              <w:t>”</w:t>
            </w:r>
            <w:r w:rsidRPr="00A0730B">
              <w:rPr>
                <w:b w:val="0"/>
                <w:color w:val="auto"/>
              </w:rPr>
              <w:t xml:space="preserve"> Concerns voiced by Policy Board members regarding this reduction led to a decision during the Tenth Policy Board Meeting in June 2013 to restore $380,000 to the budget of Outcome 4 for 2013. Funding was also approved for a component on Support to Community Based REDD+ (CBR+) to provide communities with access to small grants to encourage grassroots action in order to support REDD+ readiness and to empower ground-level actors. </w:t>
            </w:r>
          </w:p>
          <w:p w:rsidR="00A0730B" w:rsidRDefault="0070400E" w:rsidP="0070400E">
            <w:pPr>
              <w:spacing w:before="240" w:line="276" w:lineRule="auto"/>
              <w:rPr>
                <w:b w:val="0"/>
                <w:color w:val="auto"/>
              </w:rPr>
            </w:pPr>
            <w:r w:rsidRPr="0070400E">
              <w:rPr>
                <w:b w:val="0"/>
                <w:color w:val="auto"/>
              </w:rPr>
              <w:t>However,</w:t>
            </w:r>
            <w:r>
              <w:rPr>
                <w:b w:val="0"/>
                <w:color w:val="auto"/>
              </w:rPr>
              <w:t xml:space="preserve"> the 2014 budget for Outcome 4</w:t>
            </w:r>
            <w:r w:rsidRPr="00CF2752">
              <w:rPr>
                <w:rStyle w:val="FootnoteReference"/>
                <w:b w:val="0"/>
                <w:bCs w:val="0"/>
                <w:color w:val="000000"/>
                <w:sz w:val="20"/>
              </w:rPr>
              <w:footnoteReference w:id="3"/>
            </w:r>
            <w:r>
              <w:rPr>
                <w:b w:val="0"/>
                <w:color w:val="auto"/>
              </w:rPr>
              <w:t xml:space="preserve"> still represents a reduced </w:t>
            </w:r>
            <w:r w:rsidRPr="0070400E">
              <w:rPr>
                <w:b w:val="0"/>
                <w:color w:val="auto"/>
              </w:rPr>
              <w:t>budget</w:t>
            </w:r>
            <w:r w:rsidRPr="00513B67">
              <w:rPr>
                <w:rStyle w:val="FootnoteReference"/>
                <w:b w:val="0"/>
                <w:bCs w:val="0"/>
                <w:color w:val="000000"/>
                <w:sz w:val="20"/>
              </w:rPr>
              <w:footnoteReference w:id="4"/>
            </w:r>
            <w:r>
              <w:rPr>
                <w:b w:val="0"/>
                <w:color w:val="auto"/>
              </w:rPr>
              <w:t xml:space="preserve"> </w:t>
            </w:r>
            <w:r w:rsidRPr="0070400E">
              <w:rPr>
                <w:b w:val="0"/>
                <w:color w:val="auto"/>
              </w:rPr>
              <w:t>and, given the increasing demand for this area in countries and growing understanding that stakeholder engagement requires consistent and continued investment, the UN-REDD Programme has developed this funding request to cover both the shortfall imposed by reductions to the 2014 budget and to extend further support to Partner Countries in this important work area. Under the currently available reduced budget for 2014, core functions are covered to ensure sufficient guidance and support to countries with funding from National Programmes/R-PPs and to cover essential regional an</w:t>
            </w:r>
            <w:r>
              <w:rPr>
                <w:b w:val="0"/>
                <w:color w:val="auto"/>
              </w:rPr>
              <w:t>d international functions (such as</w:t>
            </w:r>
            <w:r w:rsidRPr="0070400E">
              <w:rPr>
                <w:b w:val="0"/>
                <w:color w:val="auto"/>
              </w:rPr>
              <w:t xml:space="preserve"> support to the IP and CSO representatives to the Policy Board; basic knowledge management functions on stakeholder engagement; direct support to key regional and international IP and CSO actors to ensure their continued participation in regional and international REDD+ processes; continued coordination with FCPF and other REDD+ initiatives on the issue</w:t>
            </w:r>
            <w:r>
              <w:rPr>
                <w:b w:val="0"/>
                <w:color w:val="auto"/>
              </w:rPr>
              <w:t xml:space="preserve"> of stakeholder engagement</w:t>
            </w:r>
            <w:r w:rsidRPr="0070400E">
              <w:rPr>
                <w:b w:val="0"/>
                <w:color w:val="auto"/>
              </w:rPr>
              <w:t>).</w:t>
            </w:r>
          </w:p>
          <w:p w:rsidR="0070400E" w:rsidRDefault="0070400E" w:rsidP="0070400E">
            <w:pPr>
              <w:spacing w:before="240" w:line="276" w:lineRule="auto"/>
              <w:rPr>
                <w:b w:val="0"/>
                <w:color w:val="auto"/>
              </w:rPr>
            </w:pPr>
            <w:r w:rsidRPr="0070400E">
              <w:rPr>
                <w:b w:val="0"/>
                <w:color w:val="auto"/>
              </w:rPr>
              <w:t xml:space="preserve">The extra funding requested in this proposal would provide the opportunity to catalyse stakeholder engagement with a special focus on: (a) Partner Countries that don’t currently receive support through UN-REDD National Programmes but are prioritized for either their potential to receive National Programme funding, or have potential to serve as successful pilots or early movers in stakeholder engagement; and (b) Countries that are leading in REDD+ and could provide testing grounds for more advanced concepts and approaches, such as FPIC and grievance, serving as examples for other Partner </w:t>
            </w:r>
            <w:r w:rsidRPr="0070400E">
              <w:rPr>
                <w:b w:val="0"/>
                <w:color w:val="auto"/>
              </w:rPr>
              <w:lastRenderedPageBreak/>
              <w:t>Countries.</w:t>
            </w:r>
          </w:p>
          <w:p w:rsidR="0070400E" w:rsidRDefault="0070400E" w:rsidP="0070400E">
            <w:pPr>
              <w:spacing w:before="240" w:line="276" w:lineRule="auto"/>
              <w:rPr>
                <w:b w:val="0"/>
                <w:color w:val="auto"/>
              </w:rPr>
            </w:pPr>
            <w:r w:rsidRPr="0070400E">
              <w:rPr>
                <w:b w:val="0"/>
                <w:color w:val="auto"/>
              </w:rPr>
              <w:t xml:space="preserve">Once funding is secured, activities would have to be developed in collaboration with prospective countries in response to their needs, thus a definitive list of countries will be provided at a later date. However, based on current engagement with and activity implementation in Partner Countries, it is proposed that countries which could be involved in the execution of the activities outlined in this proposal may include, for example: Bangladesh, Colombia, Cote d’Ivoire, Democratic Republic of Congo (DRC), Honduras, Kenya, Myanmar, Paraguay, Republic of Congo, South Sudan, Suriname, </w:t>
            </w:r>
            <w:r>
              <w:rPr>
                <w:b w:val="0"/>
                <w:color w:val="auto"/>
              </w:rPr>
              <w:t>or Uganda.</w:t>
            </w:r>
          </w:p>
          <w:p w:rsidR="0098675D" w:rsidRPr="00EB7A93" w:rsidRDefault="0098675D" w:rsidP="0070400E">
            <w:pPr>
              <w:pStyle w:val="ListParagraph"/>
              <w:spacing w:after="100" w:afterAutospacing="1" w:line="276" w:lineRule="auto"/>
              <w:ind w:left="1080"/>
              <w:jc w:val="both"/>
              <w:rPr>
                <w:color w:val="000000" w:themeColor="text1"/>
              </w:rPr>
            </w:pPr>
          </w:p>
        </w:tc>
      </w:tr>
    </w:tbl>
    <w:p w:rsidR="0092010E" w:rsidRDefault="0092010E"/>
    <w:tbl>
      <w:tblPr>
        <w:tblStyle w:val="MediumGrid3-Accent1"/>
        <w:tblW w:w="0" w:type="auto"/>
        <w:tblLook w:val="04A0" w:firstRow="1" w:lastRow="0" w:firstColumn="1" w:lastColumn="0" w:noHBand="0" w:noVBand="1"/>
      </w:tblPr>
      <w:tblGrid>
        <w:gridCol w:w="9576"/>
      </w:tblGrid>
      <w:tr w:rsidR="0092010E" w:rsidTr="00CF3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rsidP="00CF3EB2">
            <w:pPr>
              <w:rPr>
                <w:sz w:val="24"/>
                <w:szCs w:val="24"/>
              </w:rPr>
            </w:pPr>
            <w:r w:rsidRPr="006F294D">
              <w:rPr>
                <w:sz w:val="24"/>
                <w:szCs w:val="24"/>
              </w:rPr>
              <w:t>III. Results framework and theory of change</w:t>
            </w:r>
          </w:p>
        </w:tc>
      </w:tr>
      <w:tr w:rsidR="0092010E" w:rsidTr="00CF3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70400E" w:rsidRPr="0070400E" w:rsidRDefault="0070400E" w:rsidP="00937A55">
            <w:pPr>
              <w:spacing w:before="240" w:line="276" w:lineRule="auto"/>
              <w:rPr>
                <w:b w:val="0"/>
                <w:color w:val="auto"/>
              </w:rPr>
            </w:pPr>
            <w:r w:rsidRPr="0070400E">
              <w:rPr>
                <w:b w:val="0"/>
                <w:color w:val="auto"/>
              </w:rPr>
              <w:t xml:space="preserve">The Country Needs Assessment (CNA) recognized the importance of strengthening support to CSOs and IPs and the need to ensure effective consultation and participation processes for the success of REDD+. The prominence and importance of the work under SNA Outcome 4 is therefore recognized and responding to this demand, the current proposal provides a framework for further support to countries to strengthen their results in stakeholder engagement. Further funding in addition to the approved budget for SNA Outputs 4.1-4.4 would allow the UN-REDD Programme to provide deeper, vital assistance to government, IP, CSO and other stakeholders who have called for greater support to improve engagement and participation. In addition, an emphasis will be placed on promoting learning and ensuring that knowledge and best practice from supported activities is captured and shared. </w:t>
            </w:r>
          </w:p>
          <w:p w:rsidR="0070400E" w:rsidRDefault="0070400E" w:rsidP="00937A55">
            <w:pPr>
              <w:spacing w:before="240" w:line="276" w:lineRule="auto"/>
              <w:rPr>
                <w:b w:val="0"/>
                <w:color w:val="auto"/>
              </w:rPr>
            </w:pPr>
            <w:r w:rsidRPr="0070400E">
              <w:rPr>
                <w:b w:val="0"/>
                <w:color w:val="auto"/>
              </w:rPr>
              <w:t>Results will contribute to meaningful change through:</w:t>
            </w:r>
          </w:p>
          <w:p w:rsidR="0070400E" w:rsidRPr="0070400E" w:rsidRDefault="0070400E" w:rsidP="00937A55">
            <w:pPr>
              <w:pStyle w:val="ListParagraph"/>
              <w:numPr>
                <w:ilvl w:val="0"/>
                <w:numId w:val="12"/>
              </w:numPr>
              <w:spacing w:line="276" w:lineRule="auto"/>
              <w:rPr>
                <w:b w:val="0"/>
                <w:color w:val="000000" w:themeColor="text1"/>
              </w:rPr>
            </w:pPr>
            <w:r w:rsidRPr="0070400E">
              <w:rPr>
                <w:b w:val="0"/>
                <w:color w:val="000000" w:themeColor="text1"/>
              </w:rPr>
              <w:t>Supporting countries to concretely apply UN-REDD guidance on stakeholder engagement that will lead to embedded approaches and strategies that will facilitate the mainstreaming of effective stakeholder engagement practices in countries.</w:t>
            </w:r>
          </w:p>
          <w:p w:rsidR="0070400E" w:rsidRPr="0070400E" w:rsidRDefault="0070400E" w:rsidP="00937A55">
            <w:pPr>
              <w:pStyle w:val="ListParagraph"/>
              <w:numPr>
                <w:ilvl w:val="0"/>
                <w:numId w:val="12"/>
              </w:numPr>
              <w:spacing w:before="240" w:line="276" w:lineRule="auto"/>
              <w:rPr>
                <w:b w:val="0"/>
                <w:color w:val="000000" w:themeColor="text1"/>
              </w:rPr>
            </w:pPr>
            <w:r w:rsidRPr="0070400E">
              <w:rPr>
                <w:b w:val="0"/>
                <w:color w:val="000000" w:themeColor="text1"/>
              </w:rPr>
              <w:t xml:space="preserve">Building and/or strengthening mechanisms and key platforms and networks in countries, as well as the capacity of key stakeholders, to ensure that the enabling environment and ability of key actors to engage and support effective stakeholder engagement is provided in countries.  </w:t>
            </w:r>
          </w:p>
          <w:p w:rsidR="0070400E" w:rsidRPr="0070400E" w:rsidRDefault="0070400E" w:rsidP="00937A55">
            <w:pPr>
              <w:pStyle w:val="ListParagraph"/>
              <w:numPr>
                <w:ilvl w:val="0"/>
                <w:numId w:val="12"/>
              </w:numPr>
              <w:spacing w:before="240" w:line="276" w:lineRule="auto"/>
              <w:rPr>
                <w:b w:val="0"/>
                <w:color w:val="000000" w:themeColor="text1"/>
              </w:rPr>
            </w:pPr>
            <w:r w:rsidRPr="0070400E">
              <w:rPr>
                <w:b w:val="0"/>
                <w:color w:val="000000" w:themeColor="text1"/>
              </w:rPr>
              <w:t>Improving the knowledge of key stakeholders and supporting learning through sharing of lessons learned and best practice through the generation of deeper understanding and knowledge from the activities carried out under this proposal.</w:t>
            </w:r>
          </w:p>
          <w:p w:rsidR="0070400E" w:rsidRPr="0070400E" w:rsidRDefault="0070400E" w:rsidP="00937A55">
            <w:pPr>
              <w:spacing w:before="240" w:line="276" w:lineRule="auto"/>
              <w:rPr>
                <w:b w:val="0"/>
                <w:color w:val="auto"/>
              </w:rPr>
            </w:pPr>
            <w:r w:rsidRPr="0070400E">
              <w:rPr>
                <w:b w:val="0"/>
                <w:color w:val="auto"/>
              </w:rPr>
              <w:t>Support will be given via a mixture o</w:t>
            </w:r>
            <w:r w:rsidR="00937A55">
              <w:rPr>
                <w:b w:val="0"/>
                <w:color w:val="auto"/>
              </w:rPr>
              <w:t>f direct support to countries, targeted s</w:t>
            </w:r>
            <w:r w:rsidRPr="0070400E">
              <w:rPr>
                <w:b w:val="0"/>
                <w:color w:val="auto"/>
              </w:rPr>
              <w:t>upport and regional/global level activities. Indicative activities are outlined below:</w:t>
            </w:r>
          </w:p>
          <w:p w:rsidR="0070400E" w:rsidRDefault="0070400E" w:rsidP="00937A55">
            <w:pPr>
              <w:spacing w:before="240" w:line="276" w:lineRule="auto"/>
              <w:rPr>
                <w:b w:val="0"/>
                <w:color w:val="auto"/>
              </w:rPr>
            </w:pPr>
            <w:r w:rsidRPr="0070400E">
              <w:rPr>
                <w:color w:val="auto"/>
              </w:rPr>
              <w:t>Expected Result 1</w:t>
            </w:r>
            <w:r w:rsidRPr="0070400E">
              <w:rPr>
                <w:b w:val="0"/>
                <w:color w:val="auto"/>
              </w:rPr>
              <w:t xml:space="preserve"> (SNA Output 4.3): Supported countries apply UN-REDD guidance related to stakeholder engagement concretely in national REDD+ activities.</w:t>
            </w:r>
          </w:p>
          <w:p w:rsidR="0070400E" w:rsidRPr="00240061" w:rsidRDefault="0070400E" w:rsidP="00937A55">
            <w:pPr>
              <w:spacing w:before="240" w:line="276" w:lineRule="auto"/>
              <w:jc w:val="both"/>
              <w:rPr>
                <w:color w:val="000000" w:themeColor="text1"/>
              </w:rPr>
            </w:pPr>
            <w:r w:rsidRPr="00240061">
              <w:rPr>
                <w:color w:val="000000" w:themeColor="text1"/>
              </w:rPr>
              <w:t>Indicative Activities</w:t>
            </w:r>
          </w:p>
          <w:p w:rsidR="0070400E" w:rsidRPr="0070400E" w:rsidRDefault="0070400E" w:rsidP="00937A55">
            <w:pPr>
              <w:pStyle w:val="ListParagraph"/>
              <w:numPr>
                <w:ilvl w:val="0"/>
                <w:numId w:val="13"/>
              </w:numPr>
              <w:spacing w:line="276" w:lineRule="auto"/>
              <w:rPr>
                <w:b w:val="0"/>
                <w:color w:val="auto"/>
              </w:rPr>
            </w:pPr>
            <w:r w:rsidRPr="0070400E">
              <w:rPr>
                <w:b w:val="0"/>
                <w:color w:val="auto"/>
              </w:rPr>
              <w:t xml:space="preserve">Collaborative development of national and sub-national strategies and/or guidance for stakeholder engagement, FPIC and grievance with key IP, CSO and other stakeholders; </w:t>
            </w:r>
          </w:p>
          <w:p w:rsidR="0070400E" w:rsidRPr="0070400E" w:rsidRDefault="0070400E" w:rsidP="00937A55">
            <w:pPr>
              <w:pStyle w:val="ListParagraph"/>
              <w:numPr>
                <w:ilvl w:val="0"/>
                <w:numId w:val="13"/>
              </w:numPr>
              <w:spacing w:before="240" w:line="276" w:lineRule="auto"/>
              <w:rPr>
                <w:b w:val="0"/>
                <w:color w:val="auto"/>
              </w:rPr>
            </w:pPr>
            <w:r w:rsidRPr="0070400E">
              <w:rPr>
                <w:b w:val="0"/>
                <w:color w:val="auto"/>
              </w:rPr>
              <w:lastRenderedPageBreak/>
              <w:t>Reviewing existing national consultation/grievance mechanisms;</w:t>
            </w:r>
          </w:p>
          <w:p w:rsidR="0070400E" w:rsidRPr="0070400E" w:rsidRDefault="0070400E" w:rsidP="00937A55">
            <w:pPr>
              <w:pStyle w:val="ListParagraph"/>
              <w:numPr>
                <w:ilvl w:val="0"/>
                <w:numId w:val="13"/>
              </w:numPr>
              <w:spacing w:before="240" w:line="276" w:lineRule="auto"/>
              <w:rPr>
                <w:b w:val="0"/>
                <w:color w:val="auto"/>
              </w:rPr>
            </w:pPr>
            <w:r w:rsidRPr="0070400E">
              <w:rPr>
                <w:b w:val="0"/>
                <w:color w:val="auto"/>
              </w:rPr>
              <w:t xml:space="preserve">Diagnostic mapping and analysis of key stakeholders and consultations to build consensus on the importance of stakeholder engagement in national REDD+ processes; </w:t>
            </w:r>
          </w:p>
          <w:p w:rsidR="0070400E" w:rsidRPr="00937A55" w:rsidRDefault="0070400E" w:rsidP="00937A55">
            <w:pPr>
              <w:pStyle w:val="ListParagraph"/>
              <w:numPr>
                <w:ilvl w:val="0"/>
                <w:numId w:val="13"/>
              </w:numPr>
              <w:spacing w:before="240" w:line="276" w:lineRule="auto"/>
              <w:rPr>
                <w:color w:val="auto"/>
              </w:rPr>
            </w:pPr>
            <w:r w:rsidRPr="0070400E">
              <w:rPr>
                <w:b w:val="0"/>
                <w:color w:val="auto"/>
              </w:rPr>
              <w:t xml:space="preserve">Supporting countries' capacity building processes for stakeholder engagement, FPIC and grievance mechanisms to implement national and sub-national strategies and/or </w:t>
            </w:r>
            <w:r w:rsidRPr="00937A55">
              <w:rPr>
                <w:b w:val="0"/>
                <w:color w:val="auto"/>
              </w:rPr>
              <w:t>guidance</w:t>
            </w:r>
            <w:r w:rsidRPr="00937A55">
              <w:rPr>
                <w:color w:val="auto"/>
              </w:rPr>
              <w:t>.</w:t>
            </w:r>
          </w:p>
          <w:p w:rsidR="0070400E" w:rsidRDefault="0070400E" w:rsidP="00937A55">
            <w:pPr>
              <w:spacing w:before="240" w:line="276" w:lineRule="auto"/>
              <w:rPr>
                <w:b w:val="0"/>
                <w:color w:val="auto"/>
              </w:rPr>
            </w:pPr>
            <w:r w:rsidRPr="00937A55">
              <w:rPr>
                <w:color w:val="auto"/>
              </w:rPr>
              <w:t>Expected Result 2</w:t>
            </w:r>
            <w:r w:rsidRPr="00937A55">
              <w:rPr>
                <w:b w:val="0"/>
                <w:color w:val="auto"/>
              </w:rPr>
              <w:t xml:space="preserve"> </w:t>
            </w:r>
            <w:r w:rsidR="00937A55" w:rsidRPr="00937A55">
              <w:rPr>
                <w:b w:val="0"/>
                <w:color w:val="auto"/>
              </w:rPr>
              <w:t>(SNA Output 4.1): Knowledge based on practical experience in stakeholder engagement for REDD+ is shared effectively and contributes to increased capacity of supported countries to ensure the full and effective participation of stakeholders</w:t>
            </w:r>
            <w:r w:rsidR="00937A55">
              <w:rPr>
                <w:b w:val="0"/>
                <w:color w:val="auto"/>
              </w:rPr>
              <w:t>.</w:t>
            </w:r>
          </w:p>
          <w:p w:rsidR="00937A55" w:rsidRPr="00240061" w:rsidRDefault="00937A55" w:rsidP="00937A55">
            <w:pPr>
              <w:spacing w:before="240" w:line="276" w:lineRule="auto"/>
              <w:jc w:val="both"/>
              <w:rPr>
                <w:color w:val="000000" w:themeColor="text1"/>
              </w:rPr>
            </w:pPr>
            <w:r w:rsidRPr="00240061">
              <w:rPr>
                <w:color w:val="000000" w:themeColor="text1"/>
              </w:rPr>
              <w:t>Indicative Activities</w:t>
            </w:r>
          </w:p>
          <w:p w:rsidR="00937A55" w:rsidRPr="00937A55" w:rsidRDefault="00937A55" w:rsidP="00937A55">
            <w:pPr>
              <w:pStyle w:val="ListParagraph"/>
              <w:numPr>
                <w:ilvl w:val="0"/>
                <w:numId w:val="14"/>
              </w:numPr>
              <w:spacing w:line="276" w:lineRule="auto"/>
              <w:rPr>
                <w:b w:val="0"/>
                <w:color w:val="auto"/>
              </w:rPr>
            </w:pPr>
            <w:r w:rsidRPr="00937A55">
              <w:rPr>
                <w:b w:val="0"/>
                <w:color w:val="auto"/>
              </w:rPr>
              <w:t>National and/or regional capacity building workshops on key REDD+ themes and issues;</w:t>
            </w:r>
          </w:p>
          <w:p w:rsidR="00937A55" w:rsidRPr="00937A55" w:rsidRDefault="00937A55" w:rsidP="00937A55">
            <w:pPr>
              <w:pStyle w:val="ListParagraph"/>
              <w:numPr>
                <w:ilvl w:val="0"/>
                <w:numId w:val="14"/>
              </w:numPr>
              <w:spacing w:line="276" w:lineRule="auto"/>
              <w:rPr>
                <w:b w:val="0"/>
                <w:color w:val="auto"/>
              </w:rPr>
            </w:pPr>
            <w:r w:rsidRPr="00937A55">
              <w:rPr>
                <w:b w:val="0"/>
                <w:color w:val="auto"/>
              </w:rPr>
              <w:t xml:space="preserve">Synthesizing, recording and sharing best practice and lessons learned from UN-REDD stakeholder engagement activities; </w:t>
            </w:r>
          </w:p>
          <w:p w:rsidR="00937A55" w:rsidRPr="00937A55" w:rsidRDefault="00937A55" w:rsidP="00937A55">
            <w:pPr>
              <w:pStyle w:val="ListParagraph"/>
              <w:numPr>
                <w:ilvl w:val="0"/>
                <w:numId w:val="14"/>
              </w:numPr>
              <w:spacing w:line="276" w:lineRule="auto"/>
              <w:rPr>
                <w:b w:val="0"/>
                <w:color w:val="auto"/>
              </w:rPr>
            </w:pPr>
            <w:r w:rsidRPr="00937A55">
              <w:rPr>
                <w:b w:val="0"/>
                <w:color w:val="auto"/>
              </w:rPr>
              <w:t>Supporting national and/or regional stakeholder knowledge exchanges (e.g., best practice, lessons learned, South-South learning exchanges/study trips) for countries supported under this proposal;</w:t>
            </w:r>
          </w:p>
          <w:p w:rsidR="00937A55" w:rsidRDefault="00937A55" w:rsidP="00937A55">
            <w:pPr>
              <w:pStyle w:val="ListParagraph"/>
              <w:numPr>
                <w:ilvl w:val="0"/>
                <w:numId w:val="14"/>
              </w:numPr>
              <w:spacing w:line="276" w:lineRule="auto"/>
              <w:rPr>
                <w:b w:val="0"/>
                <w:color w:val="auto"/>
              </w:rPr>
            </w:pPr>
            <w:r w:rsidRPr="00937A55">
              <w:rPr>
                <w:b w:val="0"/>
                <w:color w:val="auto"/>
              </w:rPr>
              <w:t>National and/or regional level consultations to solicit the perspectives of IPs and key civil society stakeholders on opportunities and challenges for stakeholder engagement in REDD+;</w:t>
            </w:r>
          </w:p>
          <w:p w:rsidR="00937A55" w:rsidRPr="00937A55" w:rsidRDefault="00937A55" w:rsidP="00937A55">
            <w:pPr>
              <w:pStyle w:val="ListParagraph"/>
              <w:numPr>
                <w:ilvl w:val="0"/>
                <w:numId w:val="14"/>
              </w:numPr>
              <w:spacing w:line="276" w:lineRule="auto"/>
              <w:rPr>
                <w:b w:val="0"/>
                <w:color w:val="auto"/>
              </w:rPr>
            </w:pPr>
            <w:r w:rsidRPr="00937A55">
              <w:rPr>
                <w:b w:val="0"/>
                <w:color w:val="auto"/>
              </w:rPr>
              <w:t>Designing tailored REDD+ awareness materials in local languages for countries supported under this proposal</w:t>
            </w:r>
          </w:p>
          <w:p w:rsidR="009E71B3" w:rsidRPr="00C448DB" w:rsidRDefault="009E71B3" w:rsidP="00937A55">
            <w:pPr>
              <w:spacing w:before="240"/>
              <w:rPr>
                <w:b w:val="0"/>
                <w:color w:val="000000" w:themeColor="text1"/>
              </w:rPr>
            </w:pPr>
          </w:p>
        </w:tc>
      </w:tr>
    </w:tbl>
    <w:p w:rsidR="0092010E" w:rsidRDefault="0092010E"/>
    <w:tbl>
      <w:tblPr>
        <w:tblStyle w:val="MediumGrid3-Accent1"/>
        <w:tblW w:w="0" w:type="auto"/>
        <w:tblLook w:val="04A0" w:firstRow="1" w:lastRow="0" w:firstColumn="1" w:lastColumn="0" w:noHBand="0" w:noVBand="1"/>
      </w:tblPr>
      <w:tblGrid>
        <w:gridCol w:w="9576"/>
      </w:tblGrid>
      <w:tr w:rsidR="0092010E" w:rsidTr="00CF3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rsidP="00CF3EB2">
            <w:pPr>
              <w:rPr>
                <w:sz w:val="24"/>
                <w:szCs w:val="24"/>
              </w:rPr>
            </w:pPr>
            <w:r w:rsidRPr="006F294D">
              <w:rPr>
                <w:sz w:val="24"/>
                <w:szCs w:val="24"/>
              </w:rPr>
              <w:t xml:space="preserve">IV. Management </w:t>
            </w:r>
            <w:r w:rsidR="006F294D" w:rsidRPr="006F294D">
              <w:rPr>
                <w:sz w:val="24"/>
                <w:szCs w:val="24"/>
              </w:rPr>
              <w:t>arrangements and partnerships</w:t>
            </w:r>
          </w:p>
        </w:tc>
      </w:tr>
      <w:tr w:rsidR="0092010E" w:rsidTr="00CF3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937A55" w:rsidRPr="00937A55" w:rsidRDefault="00937A55" w:rsidP="00937A55">
            <w:pPr>
              <w:spacing w:before="240" w:line="276" w:lineRule="auto"/>
              <w:rPr>
                <w:b w:val="0"/>
                <w:color w:val="auto"/>
              </w:rPr>
            </w:pPr>
            <w:r w:rsidRPr="00937A55">
              <w:rPr>
                <w:b w:val="0"/>
                <w:color w:val="auto"/>
              </w:rPr>
              <w:t xml:space="preserve">The UN-REDD lead agency for this initiative is UNDP and as such will be responsible for the overall coordination, management and reporting. All three agencies will collaborate as per the UN-REDD modus operandi to ensure cohesion and coherence.  </w:t>
            </w:r>
          </w:p>
          <w:p w:rsidR="00937A55" w:rsidRPr="00937A55" w:rsidRDefault="00937A55" w:rsidP="00937A55">
            <w:pPr>
              <w:spacing w:before="240" w:line="276" w:lineRule="auto"/>
              <w:rPr>
                <w:b w:val="0"/>
                <w:color w:val="auto"/>
              </w:rPr>
            </w:pPr>
            <w:r w:rsidRPr="00937A55">
              <w:rPr>
                <w:b w:val="0"/>
                <w:color w:val="auto"/>
              </w:rPr>
              <w:t xml:space="preserve">Other agencies and departments of the UN will also join in the process to strengthen participation. Substantive collaboration will be furthered with important partners such as the FCPF, International Labour Organization, </w:t>
            </w:r>
            <w:proofErr w:type="gramStart"/>
            <w:r w:rsidRPr="00937A55">
              <w:rPr>
                <w:b w:val="0"/>
                <w:color w:val="auto"/>
              </w:rPr>
              <w:t>the</w:t>
            </w:r>
            <w:proofErr w:type="gramEnd"/>
            <w:r w:rsidRPr="00937A55">
              <w:rPr>
                <w:b w:val="0"/>
                <w:color w:val="auto"/>
              </w:rPr>
              <w:t xml:space="preserve"> Office of the High Commissioner for Human Rights, the Democratic Governance Group of the UNDP, and UN Women. The UN-REDD Programme will also continue to closely work with the FCPF via UNDP’s role as an FCPF delivery partner and work with other delivery agencies such as the World Bank, the Inter-American Development Bank, GIZ, and others.</w:t>
            </w:r>
          </w:p>
          <w:p w:rsidR="00937A55" w:rsidRPr="0098675D" w:rsidRDefault="00937A55" w:rsidP="00937A55">
            <w:pPr>
              <w:spacing w:before="240" w:line="276" w:lineRule="auto"/>
              <w:rPr>
                <w:b w:val="0"/>
                <w:color w:val="auto"/>
              </w:rPr>
            </w:pPr>
            <w:r w:rsidRPr="00937A55">
              <w:rPr>
                <w:b w:val="0"/>
                <w:color w:val="auto"/>
              </w:rPr>
              <w:t xml:space="preserve">This work will be coordinated closely at the regional and national levels by the UN-REDD Programme’s Regional Stakeholder Engagement Specialists, in collaboration with UN-REDD National Programme teams, institutions, and focal points in government, civil society, IP representative networks and other sectors. The Programme will work with each country individually to ensure mechanisms for in-country coordination of efforts and to bridge any capacity and institutional gaps. </w:t>
            </w:r>
          </w:p>
        </w:tc>
      </w:tr>
      <w:tr w:rsidR="0092010E" w:rsidTr="00CF3EB2">
        <w:tc>
          <w:tcPr>
            <w:cnfStyle w:val="001000000000" w:firstRow="0" w:lastRow="0" w:firstColumn="1" w:lastColumn="0" w:oddVBand="0" w:evenVBand="0" w:oddHBand="0" w:evenHBand="0" w:firstRowFirstColumn="0" w:firstRowLastColumn="0" w:lastRowFirstColumn="0" w:lastRowLastColumn="0"/>
            <w:tcW w:w="9576" w:type="dxa"/>
          </w:tcPr>
          <w:p w:rsidR="0092010E" w:rsidRPr="006F294D" w:rsidRDefault="0092010E" w:rsidP="00CF3EB2">
            <w:pPr>
              <w:rPr>
                <w:sz w:val="24"/>
                <w:szCs w:val="24"/>
              </w:rPr>
            </w:pPr>
            <w:r w:rsidRPr="006F294D">
              <w:rPr>
                <w:sz w:val="24"/>
                <w:szCs w:val="24"/>
              </w:rPr>
              <w:lastRenderedPageBreak/>
              <w:t>V. Monitoring and Evaluation</w:t>
            </w:r>
          </w:p>
        </w:tc>
      </w:tr>
      <w:tr w:rsidR="0092010E" w:rsidTr="00CF3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shd w:val="clear" w:color="auto" w:fill="DBE5F1" w:themeFill="accent1" w:themeFillTint="33"/>
          </w:tcPr>
          <w:p w:rsidR="00937A55" w:rsidRPr="00937A55" w:rsidRDefault="00937A55" w:rsidP="00937A55">
            <w:pPr>
              <w:spacing w:before="240" w:line="276" w:lineRule="auto"/>
              <w:rPr>
                <w:b w:val="0"/>
                <w:color w:val="auto"/>
              </w:rPr>
            </w:pPr>
            <w:r w:rsidRPr="00937A55">
              <w:rPr>
                <w:b w:val="0"/>
                <w:color w:val="auto"/>
              </w:rPr>
              <w:t>Based on the initial Monitoring Framework in the “Support to National REDD+ Action: Global Programme Framework 2011-2015” (SNA), the UN-REDD Programme has already proposed global-scale SMART (specific, measurable, attainable, relevant and time-bound) indicators for success in implementing its work (UNREDD/PB10/2013/XII/2c). Relevant indicators are:</w:t>
            </w:r>
          </w:p>
          <w:p w:rsidR="00937A55" w:rsidRPr="00937A55" w:rsidRDefault="00937A55" w:rsidP="00937A55">
            <w:pPr>
              <w:spacing w:before="240" w:line="276" w:lineRule="auto"/>
              <w:ind w:left="720"/>
              <w:rPr>
                <w:b w:val="0"/>
                <w:color w:val="auto"/>
              </w:rPr>
            </w:pPr>
            <w:r>
              <w:rPr>
                <w:b w:val="0"/>
                <w:color w:val="auto"/>
              </w:rPr>
              <w:t>(4.1a) Percent</w:t>
            </w:r>
            <w:r w:rsidRPr="00937A55">
              <w:rPr>
                <w:b w:val="0"/>
                <w:color w:val="auto"/>
              </w:rPr>
              <w:t xml:space="preserve"> increase of relevant REDD+ stakeholder organizations </w:t>
            </w:r>
            <w:proofErr w:type="gramStart"/>
            <w:r w:rsidRPr="00937A55">
              <w:rPr>
                <w:b w:val="0"/>
                <w:color w:val="auto"/>
              </w:rPr>
              <w:t>who</w:t>
            </w:r>
            <w:proofErr w:type="gramEnd"/>
            <w:r w:rsidRPr="00937A55">
              <w:rPr>
                <w:b w:val="0"/>
                <w:color w:val="auto"/>
              </w:rPr>
              <w:t xml:space="preserve"> have benefitted f</w:t>
            </w:r>
            <w:r>
              <w:rPr>
                <w:b w:val="0"/>
                <w:color w:val="auto"/>
              </w:rPr>
              <w:t xml:space="preserve">rom REDD+ informing activities </w:t>
            </w:r>
            <w:r w:rsidRPr="00937A55">
              <w:rPr>
                <w:b w:val="0"/>
                <w:color w:val="auto"/>
              </w:rPr>
              <w:t>at the international level, such as workshops and training.</w:t>
            </w:r>
          </w:p>
          <w:p w:rsidR="00937A55" w:rsidRPr="00937A55" w:rsidRDefault="00937A55" w:rsidP="00937A55">
            <w:pPr>
              <w:spacing w:before="240" w:line="276" w:lineRule="auto"/>
              <w:ind w:left="720"/>
              <w:rPr>
                <w:b w:val="0"/>
                <w:color w:val="auto"/>
              </w:rPr>
            </w:pPr>
            <w:r>
              <w:rPr>
                <w:b w:val="0"/>
                <w:color w:val="auto"/>
              </w:rPr>
              <w:t>(4.1b) Percent</w:t>
            </w:r>
            <w:r w:rsidRPr="00937A55">
              <w:rPr>
                <w:b w:val="0"/>
                <w:color w:val="auto"/>
              </w:rPr>
              <w:t xml:space="preserve"> increase of relevant stakeholder organizations at the national level in Partner Countries with UN-REDD National Programmes who have been fully informed of REDD+ through Programme activities.</w:t>
            </w:r>
          </w:p>
          <w:p w:rsidR="00937A55" w:rsidRPr="00937A55" w:rsidRDefault="00937A55" w:rsidP="00937A55">
            <w:pPr>
              <w:spacing w:before="240" w:line="276" w:lineRule="auto"/>
              <w:ind w:left="720"/>
              <w:rPr>
                <w:b w:val="0"/>
                <w:color w:val="auto"/>
              </w:rPr>
            </w:pPr>
            <w:r>
              <w:rPr>
                <w:b w:val="0"/>
                <w:color w:val="auto"/>
              </w:rPr>
              <w:t>(4.3a) Percentage</w:t>
            </w:r>
            <w:r w:rsidRPr="00937A55">
              <w:rPr>
                <w:b w:val="0"/>
                <w:color w:val="auto"/>
              </w:rPr>
              <w:t xml:space="preserve"> of Partner Countries that have workplans, national REDD+ strategies and other UN-REDD supported activities that demonstrate uptake and application of stakeholder engagement guidelines, and associated tools.</w:t>
            </w:r>
          </w:p>
          <w:p w:rsidR="00937A55" w:rsidRPr="00937A55" w:rsidRDefault="00937A55" w:rsidP="00937A55">
            <w:pPr>
              <w:spacing w:before="240" w:line="276" w:lineRule="auto"/>
              <w:ind w:left="720"/>
              <w:rPr>
                <w:b w:val="0"/>
                <w:color w:val="auto"/>
              </w:rPr>
            </w:pPr>
            <w:r>
              <w:rPr>
                <w:b w:val="0"/>
                <w:color w:val="auto"/>
              </w:rPr>
              <w:t>(4.3b) Percentage</w:t>
            </w:r>
            <w:r w:rsidRPr="00937A55">
              <w:rPr>
                <w:b w:val="0"/>
                <w:color w:val="auto"/>
              </w:rPr>
              <w:t xml:space="preserve"> of Partner Countries that have activities to support the implementation of FPIC and grievance.</w:t>
            </w:r>
          </w:p>
          <w:p w:rsidR="00937A55" w:rsidRPr="00937A55" w:rsidRDefault="00937A55" w:rsidP="00937A55">
            <w:pPr>
              <w:spacing w:before="240" w:line="276" w:lineRule="auto"/>
              <w:ind w:left="720"/>
              <w:rPr>
                <w:b w:val="0"/>
                <w:color w:val="auto"/>
              </w:rPr>
            </w:pPr>
            <w:r>
              <w:rPr>
                <w:b w:val="0"/>
                <w:color w:val="auto"/>
              </w:rPr>
              <w:t>(4.4a) Percentage</w:t>
            </w:r>
            <w:r w:rsidRPr="00937A55">
              <w:rPr>
                <w:b w:val="0"/>
                <w:color w:val="auto"/>
              </w:rPr>
              <w:t xml:space="preserve"> of countries with UN-REDD National Programmes that have effective engagement mechanisms (such as stakeholder </w:t>
            </w:r>
            <w:proofErr w:type="spellStart"/>
            <w:r w:rsidRPr="00937A55">
              <w:rPr>
                <w:b w:val="0"/>
                <w:color w:val="auto"/>
              </w:rPr>
              <w:t>fora</w:t>
            </w:r>
            <w:proofErr w:type="spellEnd"/>
            <w:r w:rsidRPr="00937A55">
              <w:rPr>
                <w:b w:val="0"/>
                <w:color w:val="auto"/>
              </w:rPr>
              <w:t>, technical working groups, or steering committees with decision-making roles) that have been developed inclusively.</w:t>
            </w:r>
          </w:p>
          <w:p w:rsidR="00937A55" w:rsidRPr="00937A55" w:rsidRDefault="00937A55" w:rsidP="00937A55">
            <w:pPr>
              <w:spacing w:before="240" w:line="276" w:lineRule="auto"/>
              <w:rPr>
                <w:b w:val="0"/>
                <w:color w:val="auto"/>
              </w:rPr>
            </w:pPr>
            <w:r w:rsidRPr="00937A55">
              <w:rPr>
                <w:b w:val="0"/>
                <w:color w:val="auto"/>
              </w:rPr>
              <w:t xml:space="preserve">These indicators will be adopted for the present work; the number of countries and stakeholder organizations associated with each of the indicators will depend on the nature of the requests for support put forward, however minimum estimates have been given based on initial assessments of the potential to implement the proposed activities in countries. </w:t>
            </w:r>
          </w:p>
          <w:p w:rsidR="009E71B3" w:rsidRDefault="00937A55" w:rsidP="00937A55">
            <w:pPr>
              <w:spacing w:before="240" w:line="276" w:lineRule="auto"/>
              <w:rPr>
                <w:b w:val="0"/>
                <w:color w:val="auto"/>
              </w:rPr>
            </w:pPr>
            <w:r w:rsidRPr="00937A55">
              <w:rPr>
                <w:b w:val="0"/>
                <w:color w:val="auto"/>
              </w:rPr>
              <w:t>As per UNDG guidelines for joint programming on resources for monitoring, 5% of the implementation budget has been allocated for monitoring and evaluation costs and is included in the budget of the concept note on “Results Based Management – Managing for Results”.</w:t>
            </w:r>
          </w:p>
          <w:p w:rsidR="00937A55" w:rsidRPr="0098675D" w:rsidRDefault="00937A55" w:rsidP="00937A55">
            <w:pPr>
              <w:spacing w:before="240" w:line="276" w:lineRule="auto"/>
              <w:rPr>
                <w:b w:val="0"/>
                <w:color w:val="auto"/>
              </w:rPr>
            </w:pPr>
          </w:p>
        </w:tc>
      </w:tr>
    </w:tbl>
    <w:p w:rsidR="0092010E" w:rsidRDefault="0092010E">
      <w:pPr>
        <w:sectPr w:rsidR="0092010E">
          <w:footerReference w:type="default" r:id="rId11"/>
          <w:pgSz w:w="12240" w:h="15840"/>
          <w:pgMar w:top="1440" w:right="1440" w:bottom="1440" w:left="1440" w:header="720" w:footer="720" w:gutter="0"/>
          <w:cols w:space="720"/>
          <w:docGrid w:linePitch="360"/>
        </w:sectPr>
      </w:pPr>
    </w:p>
    <w:p w:rsidR="0092010E" w:rsidRPr="001A291E" w:rsidRDefault="00715198" w:rsidP="001A291E">
      <w:pPr>
        <w:pBdr>
          <w:top w:val="single" w:sz="4" w:space="1" w:color="auto"/>
          <w:left w:val="single" w:sz="4" w:space="4" w:color="auto"/>
          <w:bottom w:val="single" w:sz="4" w:space="1" w:color="auto"/>
          <w:right w:val="single" w:sz="4" w:space="4" w:color="auto"/>
        </w:pBdr>
        <w:shd w:val="clear" w:color="auto" w:fill="4F81BD" w:themeFill="accent1"/>
        <w:rPr>
          <w:b/>
          <w:color w:val="FFFFFF" w:themeColor="background1"/>
        </w:rPr>
      </w:pPr>
      <w:r w:rsidRPr="001A291E">
        <w:rPr>
          <w:b/>
          <w:color w:val="FFFFFF" w:themeColor="background1"/>
          <w:sz w:val="24"/>
          <w:szCs w:val="24"/>
        </w:rPr>
        <w:lastRenderedPageBreak/>
        <w:t>VI. Indicative Results Framework</w:t>
      </w:r>
      <w:r w:rsidRPr="001A291E">
        <w:rPr>
          <w:rStyle w:val="FootnoteReference"/>
          <w:b/>
          <w:color w:val="FFFFFF" w:themeColor="background1"/>
        </w:rPr>
        <w:footnoteReference w:id="5"/>
      </w:r>
    </w:p>
    <w:tbl>
      <w:tblPr>
        <w:tblStyle w:val="TableGrid"/>
        <w:tblW w:w="0" w:type="auto"/>
        <w:tblLook w:val="04A0" w:firstRow="1" w:lastRow="0" w:firstColumn="1" w:lastColumn="0" w:noHBand="0" w:noVBand="1"/>
      </w:tblPr>
      <w:tblGrid>
        <w:gridCol w:w="1598"/>
        <w:gridCol w:w="1576"/>
        <w:gridCol w:w="1418"/>
        <w:gridCol w:w="2397"/>
        <w:gridCol w:w="512"/>
        <w:gridCol w:w="503"/>
        <w:gridCol w:w="503"/>
        <w:gridCol w:w="503"/>
        <w:gridCol w:w="513"/>
        <w:gridCol w:w="503"/>
        <w:gridCol w:w="503"/>
        <w:gridCol w:w="503"/>
        <w:gridCol w:w="1200"/>
        <w:gridCol w:w="1192"/>
        <w:gridCol w:w="1192"/>
      </w:tblGrid>
      <w:tr w:rsidR="00F5515E" w:rsidTr="00F5515E">
        <w:trPr>
          <w:tblHeader/>
        </w:trPr>
        <w:tc>
          <w:tcPr>
            <w:tcW w:w="1598" w:type="dxa"/>
            <w:vMerge w:val="restart"/>
            <w:shd w:val="clear" w:color="auto" w:fill="548DD4" w:themeFill="text2" w:themeFillTint="99"/>
          </w:tcPr>
          <w:p w:rsidR="00F5515E" w:rsidRPr="00F66E35" w:rsidRDefault="00F5515E" w:rsidP="00F66E35">
            <w:pPr>
              <w:jc w:val="center"/>
              <w:rPr>
                <w:b/>
                <w:color w:val="FFFFFF" w:themeColor="background1"/>
                <w:sz w:val="24"/>
                <w:szCs w:val="24"/>
              </w:rPr>
            </w:pPr>
            <w:r w:rsidRPr="00F66E35">
              <w:rPr>
                <w:b/>
                <w:color w:val="FFFFFF" w:themeColor="background1"/>
                <w:sz w:val="24"/>
                <w:szCs w:val="24"/>
              </w:rPr>
              <w:t>Outcome</w:t>
            </w:r>
          </w:p>
        </w:tc>
        <w:tc>
          <w:tcPr>
            <w:tcW w:w="1576" w:type="dxa"/>
            <w:vMerge w:val="restart"/>
            <w:shd w:val="clear" w:color="auto" w:fill="548DD4" w:themeFill="text2" w:themeFillTint="99"/>
          </w:tcPr>
          <w:p w:rsidR="00F5515E" w:rsidRPr="00F66E35" w:rsidRDefault="00F5515E" w:rsidP="00F66E35">
            <w:pPr>
              <w:jc w:val="center"/>
              <w:rPr>
                <w:b/>
                <w:color w:val="FFFFFF" w:themeColor="background1"/>
                <w:sz w:val="24"/>
                <w:szCs w:val="24"/>
              </w:rPr>
            </w:pPr>
            <w:r w:rsidRPr="00F66E35">
              <w:rPr>
                <w:b/>
                <w:color w:val="FFFFFF" w:themeColor="background1"/>
                <w:sz w:val="24"/>
                <w:szCs w:val="24"/>
              </w:rPr>
              <w:t>Output</w:t>
            </w:r>
          </w:p>
        </w:tc>
        <w:tc>
          <w:tcPr>
            <w:tcW w:w="1418" w:type="dxa"/>
            <w:vMerge w:val="restart"/>
            <w:shd w:val="clear" w:color="auto" w:fill="548DD4" w:themeFill="text2" w:themeFillTint="99"/>
          </w:tcPr>
          <w:p w:rsidR="00F5515E" w:rsidRPr="00F66E35" w:rsidRDefault="00F5515E" w:rsidP="00F66E35">
            <w:pPr>
              <w:jc w:val="center"/>
              <w:rPr>
                <w:b/>
                <w:color w:val="FFFFFF" w:themeColor="background1"/>
                <w:sz w:val="24"/>
                <w:szCs w:val="24"/>
              </w:rPr>
            </w:pPr>
            <w:r w:rsidRPr="00F66E35">
              <w:rPr>
                <w:b/>
                <w:color w:val="FFFFFF" w:themeColor="background1"/>
                <w:sz w:val="24"/>
                <w:szCs w:val="24"/>
              </w:rPr>
              <w:t>Responsible Agency</w:t>
            </w:r>
          </w:p>
        </w:tc>
        <w:tc>
          <w:tcPr>
            <w:tcW w:w="2397" w:type="dxa"/>
            <w:vMerge w:val="restart"/>
            <w:shd w:val="clear" w:color="auto" w:fill="548DD4" w:themeFill="text2" w:themeFillTint="99"/>
          </w:tcPr>
          <w:p w:rsidR="00F5515E" w:rsidRPr="00F66E35" w:rsidRDefault="00F5515E" w:rsidP="00F66E35">
            <w:pPr>
              <w:jc w:val="center"/>
              <w:rPr>
                <w:b/>
                <w:color w:val="FFFFFF" w:themeColor="background1"/>
                <w:sz w:val="24"/>
                <w:szCs w:val="24"/>
              </w:rPr>
            </w:pPr>
            <w:r>
              <w:rPr>
                <w:b/>
                <w:color w:val="FFFFFF" w:themeColor="background1"/>
                <w:sz w:val="24"/>
                <w:szCs w:val="24"/>
              </w:rPr>
              <w:t>Indicative Activities</w:t>
            </w:r>
          </w:p>
        </w:tc>
        <w:tc>
          <w:tcPr>
            <w:tcW w:w="4043" w:type="dxa"/>
            <w:gridSpan w:val="8"/>
            <w:shd w:val="clear" w:color="auto" w:fill="548DD4" w:themeFill="text2" w:themeFillTint="99"/>
          </w:tcPr>
          <w:p w:rsidR="00F5515E" w:rsidRPr="00F66E35" w:rsidRDefault="003B08E2" w:rsidP="00F66E35">
            <w:pPr>
              <w:jc w:val="center"/>
              <w:rPr>
                <w:b/>
                <w:color w:val="FFFFFF" w:themeColor="background1"/>
                <w:sz w:val="24"/>
                <w:szCs w:val="24"/>
              </w:rPr>
            </w:pPr>
            <w:r>
              <w:rPr>
                <w:b/>
                <w:color w:val="FFFFFF" w:themeColor="background1"/>
                <w:sz w:val="24"/>
                <w:szCs w:val="24"/>
              </w:rPr>
              <w:t>Indicative</w:t>
            </w:r>
            <w:r w:rsidR="00F5515E" w:rsidRPr="00F66E35">
              <w:rPr>
                <w:b/>
                <w:color w:val="FFFFFF" w:themeColor="background1"/>
                <w:sz w:val="24"/>
                <w:szCs w:val="24"/>
              </w:rPr>
              <w:t xml:space="preserve"> Timeline</w:t>
            </w:r>
          </w:p>
        </w:tc>
        <w:tc>
          <w:tcPr>
            <w:tcW w:w="1200" w:type="dxa"/>
            <w:vMerge w:val="restart"/>
            <w:shd w:val="clear" w:color="auto" w:fill="548DD4" w:themeFill="text2" w:themeFillTint="99"/>
          </w:tcPr>
          <w:p w:rsidR="00F5515E" w:rsidRPr="00F66E35" w:rsidRDefault="00F5515E" w:rsidP="00F66E35">
            <w:pPr>
              <w:jc w:val="center"/>
              <w:rPr>
                <w:b/>
                <w:color w:val="FFFFFF" w:themeColor="background1"/>
                <w:sz w:val="24"/>
                <w:szCs w:val="24"/>
              </w:rPr>
            </w:pPr>
            <w:r w:rsidRPr="00F66E35">
              <w:rPr>
                <w:b/>
                <w:color w:val="FFFFFF" w:themeColor="background1"/>
                <w:sz w:val="24"/>
                <w:szCs w:val="24"/>
              </w:rPr>
              <w:t>Indicative budget (Q1 -Q4 2014)</w:t>
            </w:r>
          </w:p>
          <w:p w:rsidR="00F5515E" w:rsidRPr="00F66E35" w:rsidRDefault="00F5515E" w:rsidP="00F66E35">
            <w:pPr>
              <w:jc w:val="center"/>
              <w:rPr>
                <w:b/>
                <w:color w:val="FFFFFF" w:themeColor="background1"/>
                <w:sz w:val="24"/>
                <w:szCs w:val="24"/>
              </w:rPr>
            </w:pPr>
            <w:r w:rsidRPr="00F66E35">
              <w:rPr>
                <w:b/>
                <w:color w:val="FFFFFF" w:themeColor="background1"/>
                <w:sz w:val="24"/>
                <w:szCs w:val="24"/>
              </w:rPr>
              <w:t>(US$)</w:t>
            </w:r>
          </w:p>
        </w:tc>
        <w:tc>
          <w:tcPr>
            <w:tcW w:w="1192" w:type="dxa"/>
            <w:vMerge w:val="restart"/>
            <w:shd w:val="clear" w:color="auto" w:fill="548DD4" w:themeFill="text2" w:themeFillTint="99"/>
          </w:tcPr>
          <w:p w:rsidR="00F5515E" w:rsidRPr="00F66E35" w:rsidRDefault="00F5515E" w:rsidP="000364F5">
            <w:pPr>
              <w:jc w:val="center"/>
              <w:rPr>
                <w:b/>
                <w:color w:val="FFFFFF" w:themeColor="background1"/>
                <w:sz w:val="24"/>
                <w:szCs w:val="24"/>
              </w:rPr>
            </w:pPr>
            <w:r w:rsidRPr="00F66E35">
              <w:rPr>
                <w:b/>
                <w:color w:val="FFFFFF" w:themeColor="background1"/>
                <w:sz w:val="24"/>
                <w:szCs w:val="24"/>
              </w:rPr>
              <w:t>Indicative budg</w:t>
            </w:r>
            <w:r>
              <w:rPr>
                <w:b/>
                <w:color w:val="FFFFFF" w:themeColor="background1"/>
                <w:sz w:val="24"/>
                <w:szCs w:val="24"/>
              </w:rPr>
              <w:t>et (Q1 2015 -Q4 2015) (US$)</w:t>
            </w:r>
          </w:p>
        </w:tc>
        <w:tc>
          <w:tcPr>
            <w:tcW w:w="1192" w:type="dxa"/>
            <w:vMerge w:val="restart"/>
            <w:shd w:val="clear" w:color="auto" w:fill="548DD4" w:themeFill="text2" w:themeFillTint="99"/>
          </w:tcPr>
          <w:p w:rsidR="00F5515E" w:rsidRPr="00F66E35" w:rsidRDefault="00F5515E" w:rsidP="000364F5">
            <w:pPr>
              <w:jc w:val="center"/>
              <w:rPr>
                <w:b/>
                <w:color w:val="FFFFFF" w:themeColor="background1"/>
                <w:sz w:val="24"/>
                <w:szCs w:val="24"/>
              </w:rPr>
            </w:pPr>
            <w:r w:rsidRPr="00F5515E">
              <w:rPr>
                <w:b/>
                <w:color w:val="FFFFFF" w:themeColor="background1"/>
                <w:sz w:val="24"/>
                <w:szCs w:val="24"/>
              </w:rPr>
              <w:t>Indicative budget (Q1 2014 -Q4 2015) (US$)</w:t>
            </w:r>
          </w:p>
        </w:tc>
      </w:tr>
      <w:tr w:rsidR="00F5515E" w:rsidTr="00F5515E">
        <w:trPr>
          <w:tblHeader/>
        </w:trPr>
        <w:tc>
          <w:tcPr>
            <w:tcW w:w="1598" w:type="dxa"/>
            <w:vMerge/>
          </w:tcPr>
          <w:p w:rsidR="00F5515E" w:rsidRPr="00F66E35" w:rsidRDefault="00F5515E">
            <w:pPr>
              <w:rPr>
                <w:b/>
                <w:sz w:val="24"/>
                <w:szCs w:val="24"/>
              </w:rPr>
            </w:pPr>
          </w:p>
        </w:tc>
        <w:tc>
          <w:tcPr>
            <w:tcW w:w="1576" w:type="dxa"/>
            <w:vMerge/>
          </w:tcPr>
          <w:p w:rsidR="00F5515E" w:rsidRPr="00F66E35" w:rsidRDefault="00F5515E">
            <w:pPr>
              <w:rPr>
                <w:b/>
                <w:sz w:val="24"/>
                <w:szCs w:val="24"/>
              </w:rPr>
            </w:pPr>
          </w:p>
        </w:tc>
        <w:tc>
          <w:tcPr>
            <w:tcW w:w="1418" w:type="dxa"/>
            <w:vMerge/>
          </w:tcPr>
          <w:p w:rsidR="00F5515E" w:rsidRPr="00F66E35" w:rsidRDefault="00F5515E">
            <w:pPr>
              <w:rPr>
                <w:b/>
                <w:sz w:val="24"/>
                <w:szCs w:val="24"/>
              </w:rPr>
            </w:pPr>
          </w:p>
        </w:tc>
        <w:tc>
          <w:tcPr>
            <w:tcW w:w="2397" w:type="dxa"/>
            <w:vMerge/>
          </w:tcPr>
          <w:p w:rsidR="00F5515E" w:rsidRPr="00F66E35" w:rsidRDefault="00F5515E">
            <w:pPr>
              <w:rPr>
                <w:b/>
                <w:sz w:val="24"/>
                <w:szCs w:val="24"/>
              </w:rPr>
            </w:pPr>
          </w:p>
        </w:tc>
        <w:tc>
          <w:tcPr>
            <w:tcW w:w="2021" w:type="dxa"/>
            <w:gridSpan w:val="4"/>
            <w:shd w:val="clear" w:color="auto" w:fill="548DD4" w:themeFill="text2" w:themeFillTint="99"/>
          </w:tcPr>
          <w:p w:rsidR="00F5515E" w:rsidRPr="001A291E" w:rsidRDefault="00F5515E" w:rsidP="000364F5">
            <w:pPr>
              <w:jc w:val="center"/>
              <w:rPr>
                <w:b/>
                <w:color w:val="FFFFFF" w:themeColor="background1"/>
                <w:sz w:val="24"/>
                <w:szCs w:val="24"/>
              </w:rPr>
            </w:pPr>
            <w:r w:rsidRPr="001A291E">
              <w:rPr>
                <w:b/>
                <w:color w:val="FFFFFF" w:themeColor="background1"/>
                <w:sz w:val="24"/>
                <w:szCs w:val="24"/>
              </w:rPr>
              <w:t>2014</w:t>
            </w:r>
          </w:p>
        </w:tc>
        <w:tc>
          <w:tcPr>
            <w:tcW w:w="2022" w:type="dxa"/>
            <w:gridSpan w:val="4"/>
            <w:shd w:val="clear" w:color="auto" w:fill="548DD4" w:themeFill="text2" w:themeFillTint="99"/>
          </w:tcPr>
          <w:p w:rsidR="00F5515E" w:rsidRPr="001A291E" w:rsidRDefault="00F5515E" w:rsidP="000364F5">
            <w:pPr>
              <w:jc w:val="center"/>
              <w:rPr>
                <w:b/>
                <w:color w:val="FFFFFF" w:themeColor="background1"/>
                <w:sz w:val="24"/>
                <w:szCs w:val="24"/>
              </w:rPr>
            </w:pPr>
            <w:r w:rsidRPr="001A291E">
              <w:rPr>
                <w:b/>
                <w:color w:val="FFFFFF" w:themeColor="background1"/>
                <w:sz w:val="24"/>
                <w:szCs w:val="24"/>
              </w:rPr>
              <w:t>2015</w:t>
            </w:r>
          </w:p>
        </w:tc>
        <w:tc>
          <w:tcPr>
            <w:tcW w:w="1200" w:type="dxa"/>
            <w:vMerge/>
          </w:tcPr>
          <w:p w:rsidR="00F5515E" w:rsidRPr="00F66E35" w:rsidRDefault="00F5515E" w:rsidP="00715198">
            <w:pPr>
              <w:rPr>
                <w:b/>
                <w:sz w:val="24"/>
                <w:szCs w:val="24"/>
              </w:rPr>
            </w:pPr>
          </w:p>
        </w:tc>
        <w:tc>
          <w:tcPr>
            <w:tcW w:w="1192" w:type="dxa"/>
            <w:vMerge/>
          </w:tcPr>
          <w:p w:rsidR="00F5515E" w:rsidRPr="00F66E35" w:rsidRDefault="00F5515E" w:rsidP="00715198">
            <w:pPr>
              <w:rPr>
                <w:b/>
                <w:sz w:val="24"/>
                <w:szCs w:val="24"/>
              </w:rPr>
            </w:pPr>
          </w:p>
        </w:tc>
        <w:tc>
          <w:tcPr>
            <w:tcW w:w="1192" w:type="dxa"/>
            <w:vMerge/>
          </w:tcPr>
          <w:p w:rsidR="00F5515E" w:rsidRPr="00F66E35" w:rsidRDefault="00F5515E" w:rsidP="00715198">
            <w:pPr>
              <w:rPr>
                <w:b/>
                <w:sz w:val="24"/>
                <w:szCs w:val="24"/>
              </w:rPr>
            </w:pPr>
          </w:p>
        </w:tc>
      </w:tr>
      <w:tr w:rsidR="00F5515E" w:rsidTr="00F5515E">
        <w:trPr>
          <w:tblHeader/>
        </w:trPr>
        <w:tc>
          <w:tcPr>
            <w:tcW w:w="1598" w:type="dxa"/>
            <w:vMerge/>
          </w:tcPr>
          <w:p w:rsidR="00F5515E" w:rsidRPr="00F66E35" w:rsidRDefault="00F5515E">
            <w:pPr>
              <w:rPr>
                <w:b/>
                <w:sz w:val="24"/>
                <w:szCs w:val="24"/>
              </w:rPr>
            </w:pPr>
          </w:p>
        </w:tc>
        <w:tc>
          <w:tcPr>
            <w:tcW w:w="1576" w:type="dxa"/>
            <w:vMerge/>
          </w:tcPr>
          <w:p w:rsidR="00F5515E" w:rsidRPr="00F66E35" w:rsidRDefault="00F5515E">
            <w:pPr>
              <w:rPr>
                <w:b/>
                <w:sz w:val="24"/>
                <w:szCs w:val="24"/>
              </w:rPr>
            </w:pPr>
          </w:p>
        </w:tc>
        <w:tc>
          <w:tcPr>
            <w:tcW w:w="1418" w:type="dxa"/>
            <w:vMerge/>
          </w:tcPr>
          <w:p w:rsidR="00F5515E" w:rsidRPr="00F66E35" w:rsidRDefault="00F5515E">
            <w:pPr>
              <w:rPr>
                <w:b/>
                <w:sz w:val="24"/>
                <w:szCs w:val="24"/>
              </w:rPr>
            </w:pPr>
          </w:p>
        </w:tc>
        <w:tc>
          <w:tcPr>
            <w:tcW w:w="2397" w:type="dxa"/>
            <w:vMerge/>
            <w:tcBorders>
              <w:bottom w:val="single" w:sz="4" w:space="0" w:color="auto"/>
            </w:tcBorders>
          </w:tcPr>
          <w:p w:rsidR="00F5515E" w:rsidRPr="00F66E35" w:rsidRDefault="00F5515E">
            <w:pPr>
              <w:rPr>
                <w:b/>
                <w:sz w:val="24"/>
                <w:szCs w:val="24"/>
              </w:rPr>
            </w:pPr>
          </w:p>
        </w:tc>
        <w:tc>
          <w:tcPr>
            <w:tcW w:w="512" w:type="dxa"/>
            <w:shd w:val="clear" w:color="auto" w:fill="548DD4" w:themeFill="text2" w:themeFillTint="99"/>
          </w:tcPr>
          <w:p w:rsidR="00F5515E" w:rsidRPr="00F66E35" w:rsidRDefault="00F5515E" w:rsidP="000364F5">
            <w:pPr>
              <w:jc w:val="center"/>
              <w:rPr>
                <w:b/>
                <w:sz w:val="24"/>
                <w:szCs w:val="24"/>
              </w:rPr>
            </w:pPr>
            <w:r w:rsidRPr="001A291E">
              <w:rPr>
                <w:b/>
                <w:color w:val="FFFFFF" w:themeColor="background1"/>
                <w:sz w:val="24"/>
                <w:szCs w:val="24"/>
              </w:rPr>
              <w:t>Q1</w:t>
            </w:r>
          </w:p>
        </w:tc>
        <w:tc>
          <w:tcPr>
            <w:tcW w:w="503" w:type="dxa"/>
            <w:shd w:val="clear" w:color="auto" w:fill="548DD4" w:themeFill="text2" w:themeFillTint="99"/>
          </w:tcPr>
          <w:p w:rsidR="00F5515E" w:rsidRPr="001A291E" w:rsidRDefault="00F5515E" w:rsidP="000364F5">
            <w:pPr>
              <w:jc w:val="center"/>
              <w:rPr>
                <w:b/>
                <w:color w:val="FFFFFF" w:themeColor="background1"/>
                <w:sz w:val="24"/>
                <w:szCs w:val="24"/>
              </w:rPr>
            </w:pPr>
            <w:r w:rsidRPr="001A291E">
              <w:rPr>
                <w:b/>
                <w:color w:val="FFFFFF" w:themeColor="background1"/>
                <w:sz w:val="24"/>
                <w:szCs w:val="24"/>
              </w:rPr>
              <w:t>Q2</w:t>
            </w:r>
          </w:p>
        </w:tc>
        <w:tc>
          <w:tcPr>
            <w:tcW w:w="503" w:type="dxa"/>
            <w:shd w:val="clear" w:color="auto" w:fill="548DD4" w:themeFill="text2" w:themeFillTint="99"/>
          </w:tcPr>
          <w:p w:rsidR="00F5515E" w:rsidRPr="001A291E" w:rsidRDefault="00F5515E" w:rsidP="000364F5">
            <w:pPr>
              <w:jc w:val="center"/>
              <w:rPr>
                <w:b/>
                <w:color w:val="FFFFFF" w:themeColor="background1"/>
                <w:sz w:val="24"/>
                <w:szCs w:val="24"/>
              </w:rPr>
            </w:pPr>
            <w:r w:rsidRPr="001A291E">
              <w:rPr>
                <w:b/>
                <w:color w:val="FFFFFF" w:themeColor="background1"/>
                <w:sz w:val="24"/>
                <w:szCs w:val="24"/>
              </w:rPr>
              <w:t>Q3</w:t>
            </w:r>
          </w:p>
        </w:tc>
        <w:tc>
          <w:tcPr>
            <w:tcW w:w="503" w:type="dxa"/>
            <w:shd w:val="clear" w:color="auto" w:fill="548DD4" w:themeFill="text2" w:themeFillTint="99"/>
          </w:tcPr>
          <w:p w:rsidR="00F5515E" w:rsidRPr="001A291E" w:rsidRDefault="00F5515E" w:rsidP="000364F5">
            <w:pPr>
              <w:jc w:val="center"/>
              <w:rPr>
                <w:b/>
                <w:color w:val="FFFFFF" w:themeColor="background1"/>
                <w:sz w:val="24"/>
                <w:szCs w:val="24"/>
              </w:rPr>
            </w:pPr>
            <w:r w:rsidRPr="001A291E">
              <w:rPr>
                <w:b/>
                <w:color w:val="FFFFFF" w:themeColor="background1"/>
                <w:sz w:val="24"/>
                <w:szCs w:val="24"/>
              </w:rPr>
              <w:t>Q4</w:t>
            </w:r>
          </w:p>
        </w:tc>
        <w:tc>
          <w:tcPr>
            <w:tcW w:w="513" w:type="dxa"/>
            <w:shd w:val="clear" w:color="auto" w:fill="548DD4" w:themeFill="text2" w:themeFillTint="99"/>
          </w:tcPr>
          <w:p w:rsidR="00F5515E" w:rsidRPr="001A291E" w:rsidRDefault="00F5515E" w:rsidP="000364F5">
            <w:pPr>
              <w:jc w:val="center"/>
              <w:rPr>
                <w:b/>
                <w:color w:val="FFFFFF" w:themeColor="background1"/>
                <w:sz w:val="24"/>
                <w:szCs w:val="24"/>
              </w:rPr>
            </w:pPr>
            <w:r w:rsidRPr="001A291E">
              <w:rPr>
                <w:b/>
                <w:color w:val="FFFFFF" w:themeColor="background1"/>
                <w:sz w:val="24"/>
                <w:szCs w:val="24"/>
              </w:rPr>
              <w:t>Q1</w:t>
            </w:r>
          </w:p>
        </w:tc>
        <w:tc>
          <w:tcPr>
            <w:tcW w:w="503" w:type="dxa"/>
            <w:shd w:val="clear" w:color="auto" w:fill="548DD4" w:themeFill="text2" w:themeFillTint="99"/>
          </w:tcPr>
          <w:p w:rsidR="00F5515E" w:rsidRPr="001A291E" w:rsidRDefault="00F5515E" w:rsidP="000364F5">
            <w:pPr>
              <w:jc w:val="center"/>
              <w:rPr>
                <w:b/>
                <w:color w:val="FFFFFF" w:themeColor="background1"/>
                <w:sz w:val="24"/>
                <w:szCs w:val="24"/>
              </w:rPr>
            </w:pPr>
            <w:r w:rsidRPr="001A291E">
              <w:rPr>
                <w:b/>
                <w:color w:val="FFFFFF" w:themeColor="background1"/>
                <w:sz w:val="24"/>
                <w:szCs w:val="24"/>
              </w:rPr>
              <w:t>Q2</w:t>
            </w:r>
          </w:p>
        </w:tc>
        <w:tc>
          <w:tcPr>
            <w:tcW w:w="503" w:type="dxa"/>
            <w:shd w:val="clear" w:color="auto" w:fill="548DD4" w:themeFill="text2" w:themeFillTint="99"/>
          </w:tcPr>
          <w:p w:rsidR="00F5515E" w:rsidRPr="001A291E" w:rsidRDefault="00F5515E" w:rsidP="000364F5">
            <w:pPr>
              <w:jc w:val="center"/>
              <w:rPr>
                <w:b/>
                <w:color w:val="FFFFFF" w:themeColor="background1"/>
                <w:sz w:val="24"/>
                <w:szCs w:val="24"/>
              </w:rPr>
            </w:pPr>
            <w:r w:rsidRPr="001A291E">
              <w:rPr>
                <w:b/>
                <w:color w:val="FFFFFF" w:themeColor="background1"/>
                <w:sz w:val="24"/>
                <w:szCs w:val="24"/>
              </w:rPr>
              <w:t>Q3</w:t>
            </w:r>
          </w:p>
        </w:tc>
        <w:tc>
          <w:tcPr>
            <w:tcW w:w="503" w:type="dxa"/>
            <w:shd w:val="clear" w:color="auto" w:fill="548DD4" w:themeFill="text2" w:themeFillTint="99"/>
          </w:tcPr>
          <w:p w:rsidR="00F5515E" w:rsidRPr="001A291E" w:rsidRDefault="00F5515E" w:rsidP="000364F5">
            <w:pPr>
              <w:jc w:val="center"/>
              <w:rPr>
                <w:b/>
                <w:color w:val="FFFFFF" w:themeColor="background1"/>
                <w:sz w:val="24"/>
                <w:szCs w:val="24"/>
              </w:rPr>
            </w:pPr>
            <w:r w:rsidRPr="001A291E">
              <w:rPr>
                <w:b/>
                <w:color w:val="FFFFFF" w:themeColor="background1"/>
                <w:sz w:val="24"/>
                <w:szCs w:val="24"/>
              </w:rPr>
              <w:t>Q4</w:t>
            </w:r>
          </w:p>
        </w:tc>
        <w:tc>
          <w:tcPr>
            <w:tcW w:w="1200" w:type="dxa"/>
            <w:vMerge/>
          </w:tcPr>
          <w:p w:rsidR="00F5515E" w:rsidRPr="00F66E35" w:rsidRDefault="00F5515E" w:rsidP="00715198">
            <w:pPr>
              <w:rPr>
                <w:b/>
                <w:sz w:val="24"/>
                <w:szCs w:val="24"/>
              </w:rPr>
            </w:pPr>
          </w:p>
        </w:tc>
        <w:tc>
          <w:tcPr>
            <w:tcW w:w="1192" w:type="dxa"/>
            <w:vMerge/>
          </w:tcPr>
          <w:p w:rsidR="00F5515E" w:rsidRPr="00F66E35" w:rsidRDefault="00F5515E" w:rsidP="00715198">
            <w:pPr>
              <w:rPr>
                <w:b/>
                <w:sz w:val="24"/>
                <w:szCs w:val="24"/>
              </w:rPr>
            </w:pPr>
          </w:p>
        </w:tc>
        <w:tc>
          <w:tcPr>
            <w:tcW w:w="1192" w:type="dxa"/>
            <w:vMerge/>
          </w:tcPr>
          <w:p w:rsidR="00F5515E" w:rsidRPr="00F66E35" w:rsidRDefault="00F5515E" w:rsidP="00715198">
            <w:pPr>
              <w:rPr>
                <w:b/>
                <w:sz w:val="24"/>
                <w:szCs w:val="24"/>
              </w:rPr>
            </w:pPr>
          </w:p>
        </w:tc>
      </w:tr>
      <w:tr w:rsidR="00DD5B6C" w:rsidTr="00F5515E">
        <w:tc>
          <w:tcPr>
            <w:tcW w:w="1598" w:type="dxa"/>
            <w:vMerge w:val="restart"/>
          </w:tcPr>
          <w:p w:rsidR="00DD5B6C" w:rsidRPr="004A3DDE" w:rsidRDefault="00DD5B6C" w:rsidP="00937A55">
            <w:r w:rsidRPr="00937A55">
              <w:t>Expected Result 1</w:t>
            </w:r>
            <w:r>
              <w:rPr>
                <w:rStyle w:val="FootnoteReference"/>
                <w:rFonts w:ascii="Verdana" w:hAnsi="Verdana"/>
                <w:sz w:val="18"/>
                <w:szCs w:val="18"/>
                <w:lang w:val="en-US" w:eastAsia="en-US"/>
              </w:rPr>
              <w:footnoteReference w:id="6"/>
            </w:r>
            <w:r w:rsidRPr="00937A55">
              <w:t>: Supported countries apply UN-REDD guidance related to stakeholder engagement concretely in national REDD+ activities</w:t>
            </w:r>
          </w:p>
        </w:tc>
        <w:tc>
          <w:tcPr>
            <w:tcW w:w="1576" w:type="dxa"/>
          </w:tcPr>
          <w:p w:rsidR="00DD5B6C" w:rsidRPr="004A3DDE" w:rsidRDefault="00DD5B6C" w:rsidP="00CF3EB2">
            <w:r w:rsidRPr="00937A55">
              <w:t>National stakeholder engagement strategies developed collaboratively in at least 4 Partner Countries</w:t>
            </w:r>
          </w:p>
        </w:tc>
        <w:tc>
          <w:tcPr>
            <w:tcW w:w="1418" w:type="dxa"/>
            <w:vMerge w:val="restart"/>
            <w:tcBorders>
              <w:right w:val="single" w:sz="4" w:space="0" w:color="auto"/>
            </w:tcBorders>
          </w:tcPr>
          <w:p w:rsidR="00DD5B6C" w:rsidRPr="004A3DDE" w:rsidRDefault="00DD5B6C" w:rsidP="00D0174E">
            <w:pPr>
              <w:jc w:val="center"/>
            </w:pPr>
            <w:r>
              <w:t>UNDP</w:t>
            </w:r>
          </w:p>
        </w:tc>
        <w:tc>
          <w:tcPr>
            <w:tcW w:w="2397" w:type="dxa"/>
            <w:vMerge w:val="restart"/>
            <w:tcBorders>
              <w:top w:val="single" w:sz="4" w:space="0" w:color="auto"/>
              <w:left w:val="single" w:sz="4" w:space="0" w:color="auto"/>
              <w:right w:val="single" w:sz="4" w:space="0" w:color="auto"/>
            </w:tcBorders>
          </w:tcPr>
          <w:p w:rsidR="00DD5B6C" w:rsidRPr="004A3DDE" w:rsidRDefault="00DD5B6C" w:rsidP="00CF3EB2">
            <w:r w:rsidRPr="00937A55">
              <w:t>Detailed stakeholder mapping/analyses; Consultations with key stakeholders; Review existing national consultation/grievance mechanisms; Provide international expertise in key technical areas; Draft national strategies/guidelines; Consult on preliminary draft strategies/guidelines; Capacity building workshops for key stakeholders to implement national strategies/guidelines; Coordinate and collaborate with FCPF</w:t>
            </w:r>
          </w:p>
        </w:tc>
        <w:tc>
          <w:tcPr>
            <w:tcW w:w="512" w:type="dxa"/>
            <w:tcBorders>
              <w:left w:val="single" w:sz="4" w:space="0" w:color="auto"/>
            </w:tcBorders>
            <w:shd w:val="clear" w:color="auto" w:fill="auto"/>
          </w:tcPr>
          <w:p w:rsidR="00DD5B6C" w:rsidRPr="004A3DDE" w:rsidRDefault="00DD5B6C"/>
        </w:tc>
        <w:tc>
          <w:tcPr>
            <w:tcW w:w="503" w:type="dxa"/>
            <w:shd w:val="clear" w:color="auto" w:fill="4F81BD" w:themeFill="accent1"/>
          </w:tcPr>
          <w:p w:rsidR="00DD5B6C" w:rsidRPr="004A3DDE" w:rsidRDefault="00DD5B6C"/>
        </w:tc>
        <w:tc>
          <w:tcPr>
            <w:tcW w:w="503" w:type="dxa"/>
            <w:shd w:val="clear" w:color="auto" w:fill="4F81BD" w:themeFill="accent1"/>
          </w:tcPr>
          <w:p w:rsidR="00DD5B6C" w:rsidRPr="004A3DDE" w:rsidRDefault="00DD5B6C"/>
        </w:tc>
        <w:tc>
          <w:tcPr>
            <w:tcW w:w="503" w:type="dxa"/>
            <w:shd w:val="clear" w:color="auto" w:fill="4F81BD" w:themeFill="accent1"/>
          </w:tcPr>
          <w:p w:rsidR="00DD5B6C" w:rsidRPr="004A3DDE" w:rsidRDefault="00DD5B6C"/>
        </w:tc>
        <w:tc>
          <w:tcPr>
            <w:tcW w:w="513" w:type="dxa"/>
            <w:shd w:val="clear" w:color="auto" w:fill="4F81BD" w:themeFill="accent1"/>
          </w:tcPr>
          <w:p w:rsidR="00DD5B6C" w:rsidRPr="004A3DDE" w:rsidRDefault="00DD5B6C"/>
        </w:tc>
        <w:tc>
          <w:tcPr>
            <w:tcW w:w="503" w:type="dxa"/>
            <w:shd w:val="clear" w:color="auto" w:fill="4F81BD" w:themeFill="accent1"/>
          </w:tcPr>
          <w:p w:rsidR="00DD5B6C" w:rsidRPr="004A3DDE" w:rsidRDefault="00DD5B6C"/>
        </w:tc>
        <w:tc>
          <w:tcPr>
            <w:tcW w:w="503" w:type="dxa"/>
          </w:tcPr>
          <w:p w:rsidR="00DD5B6C" w:rsidRPr="004A3DDE" w:rsidRDefault="00DD5B6C"/>
        </w:tc>
        <w:tc>
          <w:tcPr>
            <w:tcW w:w="503" w:type="dxa"/>
          </w:tcPr>
          <w:p w:rsidR="00DD5B6C" w:rsidRPr="004A3DDE" w:rsidRDefault="00DD5B6C"/>
        </w:tc>
        <w:tc>
          <w:tcPr>
            <w:tcW w:w="1200" w:type="dxa"/>
            <w:vAlign w:val="center"/>
          </w:tcPr>
          <w:p w:rsidR="00DD5B6C" w:rsidRPr="004A3DDE" w:rsidRDefault="00DD5B6C" w:rsidP="00F5515E">
            <w:pPr>
              <w:jc w:val="right"/>
            </w:pPr>
            <w:r>
              <w:t>220,000</w:t>
            </w:r>
          </w:p>
        </w:tc>
        <w:tc>
          <w:tcPr>
            <w:tcW w:w="1192" w:type="dxa"/>
          </w:tcPr>
          <w:p w:rsidR="00DD5B6C" w:rsidRPr="004A3DDE" w:rsidRDefault="00DD5B6C" w:rsidP="00715198">
            <w:pPr>
              <w:jc w:val="right"/>
            </w:pPr>
          </w:p>
        </w:tc>
        <w:tc>
          <w:tcPr>
            <w:tcW w:w="1192" w:type="dxa"/>
            <w:vAlign w:val="center"/>
          </w:tcPr>
          <w:p w:rsidR="00DD5B6C" w:rsidRPr="004A3DDE" w:rsidRDefault="00F5515E" w:rsidP="00F5515E">
            <w:pPr>
              <w:jc w:val="right"/>
            </w:pPr>
            <w:r>
              <w:t>220,000</w:t>
            </w:r>
          </w:p>
        </w:tc>
      </w:tr>
      <w:tr w:rsidR="00DD5B6C" w:rsidTr="00F5515E">
        <w:tc>
          <w:tcPr>
            <w:tcW w:w="1598" w:type="dxa"/>
            <w:vMerge/>
          </w:tcPr>
          <w:p w:rsidR="00DD5B6C" w:rsidRPr="004A3DDE" w:rsidRDefault="00DD5B6C" w:rsidP="00CF3EB2"/>
        </w:tc>
        <w:tc>
          <w:tcPr>
            <w:tcW w:w="1576" w:type="dxa"/>
          </w:tcPr>
          <w:p w:rsidR="00DD5B6C" w:rsidRPr="004A3DDE" w:rsidRDefault="00DD5B6C" w:rsidP="00CF3EB2">
            <w:r>
              <w:t>Same Output,</w:t>
            </w:r>
            <w:r w:rsidRPr="00D0174E">
              <w:t xml:space="preserve"> in at least 4 further countries</w:t>
            </w:r>
          </w:p>
        </w:tc>
        <w:tc>
          <w:tcPr>
            <w:tcW w:w="1418" w:type="dxa"/>
            <w:vMerge/>
            <w:tcBorders>
              <w:right w:val="single" w:sz="4" w:space="0" w:color="auto"/>
            </w:tcBorders>
          </w:tcPr>
          <w:p w:rsidR="00DD5B6C" w:rsidRPr="004A3DDE" w:rsidRDefault="00DD5B6C" w:rsidP="00CF3EB2"/>
        </w:tc>
        <w:tc>
          <w:tcPr>
            <w:tcW w:w="2397" w:type="dxa"/>
            <w:vMerge/>
            <w:tcBorders>
              <w:left w:val="single" w:sz="4" w:space="0" w:color="auto"/>
              <w:right w:val="single" w:sz="4" w:space="0" w:color="auto"/>
            </w:tcBorders>
          </w:tcPr>
          <w:p w:rsidR="00DD5B6C" w:rsidRPr="004A3DDE" w:rsidRDefault="00DD5B6C" w:rsidP="00CF3EB2"/>
        </w:tc>
        <w:tc>
          <w:tcPr>
            <w:tcW w:w="512" w:type="dxa"/>
            <w:tcBorders>
              <w:left w:val="single" w:sz="4" w:space="0" w:color="auto"/>
            </w:tcBorders>
            <w:shd w:val="clear" w:color="auto" w:fill="auto"/>
          </w:tcPr>
          <w:p w:rsidR="00DD5B6C" w:rsidRPr="004A3DDE" w:rsidRDefault="00DD5B6C"/>
        </w:tc>
        <w:tc>
          <w:tcPr>
            <w:tcW w:w="503" w:type="dxa"/>
            <w:shd w:val="clear" w:color="auto" w:fill="auto"/>
          </w:tcPr>
          <w:p w:rsidR="00DD5B6C" w:rsidRPr="004A3DDE" w:rsidRDefault="00DD5B6C"/>
        </w:tc>
        <w:tc>
          <w:tcPr>
            <w:tcW w:w="503" w:type="dxa"/>
            <w:shd w:val="clear" w:color="auto" w:fill="auto"/>
          </w:tcPr>
          <w:p w:rsidR="00DD5B6C" w:rsidRPr="004A3DDE" w:rsidRDefault="00DD5B6C"/>
        </w:tc>
        <w:tc>
          <w:tcPr>
            <w:tcW w:w="503" w:type="dxa"/>
            <w:shd w:val="clear" w:color="auto" w:fill="4F81BD" w:themeFill="accent1"/>
          </w:tcPr>
          <w:p w:rsidR="00DD5B6C" w:rsidRPr="004A3DDE" w:rsidRDefault="00DD5B6C"/>
        </w:tc>
        <w:tc>
          <w:tcPr>
            <w:tcW w:w="513" w:type="dxa"/>
            <w:shd w:val="clear" w:color="auto" w:fill="4F81BD" w:themeFill="accent1"/>
          </w:tcPr>
          <w:p w:rsidR="00DD5B6C" w:rsidRPr="004A3DDE" w:rsidRDefault="00DD5B6C"/>
        </w:tc>
        <w:tc>
          <w:tcPr>
            <w:tcW w:w="503" w:type="dxa"/>
            <w:shd w:val="clear" w:color="auto" w:fill="4F81BD" w:themeFill="accent1"/>
          </w:tcPr>
          <w:p w:rsidR="00DD5B6C" w:rsidRPr="004A3DDE" w:rsidRDefault="00DD5B6C"/>
        </w:tc>
        <w:tc>
          <w:tcPr>
            <w:tcW w:w="503" w:type="dxa"/>
            <w:shd w:val="clear" w:color="auto" w:fill="4F81BD" w:themeFill="accent1"/>
          </w:tcPr>
          <w:p w:rsidR="00DD5B6C" w:rsidRPr="004A3DDE" w:rsidRDefault="00DD5B6C"/>
        </w:tc>
        <w:tc>
          <w:tcPr>
            <w:tcW w:w="503" w:type="dxa"/>
            <w:shd w:val="clear" w:color="auto" w:fill="4F81BD" w:themeFill="accent1"/>
          </w:tcPr>
          <w:p w:rsidR="00DD5B6C" w:rsidRPr="004A3DDE" w:rsidRDefault="00DD5B6C"/>
        </w:tc>
        <w:tc>
          <w:tcPr>
            <w:tcW w:w="1200" w:type="dxa"/>
          </w:tcPr>
          <w:p w:rsidR="00DD5B6C" w:rsidRPr="004A3DDE" w:rsidRDefault="00DD5B6C" w:rsidP="00715198">
            <w:pPr>
              <w:jc w:val="right"/>
            </w:pPr>
          </w:p>
        </w:tc>
        <w:tc>
          <w:tcPr>
            <w:tcW w:w="1192" w:type="dxa"/>
            <w:vAlign w:val="center"/>
          </w:tcPr>
          <w:p w:rsidR="00DD5B6C" w:rsidRPr="004A3DDE" w:rsidRDefault="00DD5B6C" w:rsidP="00F5515E">
            <w:pPr>
              <w:jc w:val="right"/>
            </w:pPr>
            <w:r>
              <w:t>220</w:t>
            </w:r>
            <w:r w:rsidRPr="004A3DDE">
              <w:t>,000</w:t>
            </w:r>
          </w:p>
        </w:tc>
        <w:tc>
          <w:tcPr>
            <w:tcW w:w="1192" w:type="dxa"/>
            <w:vAlign w:val="center"/>
          </w:tcPr>
          <w:p w:rsidR="00DD5B6C" w:rsidRDefault="00F5515E" w:rsidP="00F5515E">
            <w:pPr>
              <w:jc w:val="right"/>
            </w:pPr>
            <w:r>
              <w:t>220,000</w:t>
            </w:r>
          </w:p>
        </w:tc>
      </w:tr>
      <w:tr w:rsidR="00DD5B6C" w:rsidTr="00F5515E">
        <w:tc>
          <w:tcPr>
            <w:tcW w:w="1598" w:type="dxa"/>
            <w:vMerge/>
          </w:tcPr>
          <w:p w:rsidR="00DD5B6C" w:rsidRPr="004A3DDE" w:rsidRDefault="00DD5B6C" w:rsidP="00CF3EB2"/>
        </w:tc>
        <w:tc>
          <w:tcPr>
            <w:tcW w:w="1576" w:type="dxa"/>
          </w:tcPr>
          <w:p w:rsidR="00DD5B6C" w:rsidRPr="004A3DDE" w:rsidRDefault="00DD5B6C" w:rsidP="00CF3EB2">
            <w:r w:rsidRPr="00D0174E">
              <w:t>National FPIC Guidelines developed in at least 2 Partner Country and initial FPIC activities completed in at least 4 countries</w:t>
            </w:r>
          </w:p>
        </w:tc>
        <w:tc>
          <w:tcPr>
            <w:tcW w:w="1418" w:type="dxa"/>
            <w:vMerge/>
            <w:tcBorders>
              <w:right w:val="single" w:sz="4" w:space="0" w:color="auto"/>
            </w:tcBorders>
          </w:tcPr>
          <w:p w:rsidR="00DD5B6C" w:rsidRPr="004A3DDE" w:rsidRDefault="00DD5B6C" w:rsidP="00CF3EB2"/>
        </w:tc>
        <w:tc>
          <w:tcPr>
            <w:tcW w:w="2397" w:type="dxa"/>
            <w:vMerge/>
            <w:tcBorders>
              <w:left w:val="single" w:sz="4" w:space="0" w:color="auto"/>
              <w:right w:val="single" w:sz="4" w:space="0" w:color="auto"/>
            </w:tcBorders>
          </w:tcPr>
          <w:p w:rsidR="00DD5B6C" w:rsidRPr="004A3DDE" w:rsidRDefault="00DD5B6C" w:rsidP="00CF3EB2"/>
        </w:tc>
        <w:tc>
          <w:tcPr>
            <w:tcW w:w="512" w:type="dxa"/>
            <w:tcBorders>
              <w:left w:val="single" w:sz="4" w:space="0" w:color="auto"/>
            </w:tcBorders>
            <w:shd w:val="clear" w:color="auto" w:fill="auto"/>
          </w:tcPr>
          <w:p w:rsidR="00DD5B6C" w:rsidRPr="004A3DDE" w:rsidRDefault="00DD5B6C"/>
        </w:tc>
        <w:tc>
          <w:tcPr>
            <w:tcW w:w="503" w:type="dxa"/>
            <w:shd w:val="clear" w:color="auto" w:fill="4F81BD" w:themeFill="accent1"/>
          </w:tcPr>
          <w:p w:rsidR="00DD5B6C" w:rsidRPr="004A3DDE" w:rsidRDefault="00DD5B6C"/>
        </w:tc>
        <w:tc>
          <w:tcPr>
            <w:tcW w:w="503" w:type="dxa"/>
            <w:shd w:val="clear" w:color="auto" w:fill="4F81BD" w:themeFill="accent1"/>
          </w:tcPr>
          <w:p w:rsidR="00DD5B6C" w:rsidRPr="004A3DDE" w:rsidRDefault="00DD5B6C"/>
        </w:tc>
        <w:tc>
          <w:tcPr>
            <w:tcW w:w="503" w:type="dxa"/>
            <w:shd w:val="clear" w:color="auto" w:fill="4F81BD" w:themeFill="accent1"/>
          </w:tcPr>
          <w:p w:rsidR="00DD5B6C" w:rsidRPr="004A3DDE" w:rsidRDefault="00DD5B6C"/>
        </w:tc>
        <w:tc>
          <w:tcPr>
            <w:tcW w:w="513" w:type="dxa"/>
            <w:shd w:val="clear" w:color="auto" w:fill="4F81BD" w:themeFill="accent1"/>
          </w:tcPr>
          <w:p w:rsidR="00DD5B6C" w:rsidRPr="004A3DDE" w:rsidRDefault="00DD5B6C"/>
        </w:tc>
        <w:tc>
          <w:tcPr>
            <w:tcW w:w="503" w:type="dxa"/>
            <w:shd w:val="clear" w:color="auto" w:fill="4F81BD" w:themeFill="accent1"/>
          </w:tcPr>
          <w:p w:rsidR="00DD5B6C" w:rsidRPr="004A3DDE" w:rsidRDefault="00DD5B6C"/>
        </w:tc>
        <w:tc>
          <w:tcPr>
            <w:tcW w:w="503" w:type="dxa"/>
            <w:shd w:val="clear" w:color="auto" w:fill="4F81BD" w:themeFill="accent1"/>
          </w:tcPr>
          <w:p w:rsidR="00DD5B6C" w:rsidRPr="004A3DDE" w:rsidRDefault="00DD5B6C"/>
        </w:tc>
        <w:tc>
          <w:tcPr>
            <w:tcW w:w="503" w:type="dxa"/>
          </w:tcPr>
          <w:p w:rsidR="00DD5B6C" w:rsidRPr="004A3DDE" w:rsidRDefault="00DD5B6C"/>
        </w:tc>
        <w:tc>
          <w:tcPr>
            <w:tcW w:w="1200" w:type="dxa"/>
            <w:vAlign w:val="center"/>
          </w:tcPr>
          <w:p w:rsidR="00DD5B6C" w:rsidRPr="004A3DDE" w:rsidRDefault="00DD5B6C" w:rsidP="00F5515E">
            <w:pPr>
              <w:jc w:val="right"/>
            </w:pPr>
            <w:r>
              <w:t>210,000</w:t>
            </w:r>
          </w:p>
        </w:tc>
        <w:tc>
          <w:tcPr>
            <w:tcW w:w="1192" w:type="dxa"/>
          </w:tcPr>
          <w:p w:rsidR="00DD5B6C" w:rsidRPr="004A3DDE" w:rsidRDefault="00DD5B6C" w:rsidP="00715198">
            <w:pPr>
              <w:jc w:val="right"/>
            </w:pPr>
          </w:p>
        </w:tc>
        <w:tc>
          <w:tcPr>
            <w:tcW w:w="1192" w:type="dxa"/>
            <w:vAlign w:val="center"/>
          </w:tcPr>
          <w:p w:rsidR="00DD5B6C" w:rsidRPr="004A3DDE" w:rsidRDefault="00F5515E" w:rsidP="00F5515E">
            <w:pPr>
              <w:jc w:val="right"/>
            </w:pPr>
            <w:r>
              <w:t>210,000</w:t>
            </w:r>
          </w:p>
        </w:tc>
      </w:tr>
      <w:tr w:rsidR="00DD5B6C" w:rsidTr="00F5515E">
        <w:tc>
          <w:tcPr>
            <w:tcW w:w="1598" w:type="dxa"/>
            <w:vMerge/>
          </w:tcPr>
          <w:p w:rsidR="00DD5B6C" w:rsidRPr="004A3DDE" w:rsidRDefault="00DD5B6C" w:rsidP="00CF3EB2"/>
        </w:tc>
        <w:tc>
          <w:tcPr>
            <w:tcW w:w="1576" w:type="dxa"/>
          </w:tcPr>
          <w:p w:rsidR="00DD5B6C" w:rsidRPr="004A3DDE" w:rsidRDefault="00DD5B6C" w:rsidP="00CF3EB2">
            <w:r>
              <w:t xml:space="preserve">Same, </w:t>
            </w:r>
            <w:r w:rsidRPr="00D0174E">
              <w:t>in at least 3 further countries</w:t>
            </w:r>
          </w:p>
        </w:tc>
        <w:tc>
          <w:tcPr>
            <w:tcW w:w="1418" w:type="dxa"/>
            <w:vMerge/>
            <w:tcBorders>
              <w:right w:val="single" w:sz="4" w:space="0" w:color="auto"/>
            </w:tcBorders>
          </w:tcPr>
          <w:p w:rsidR="00DD5B6C" w:rsidRPr="004A3DDE" w:rsidRDefault="00DD5B6C" w:rsidP="00CF3EB2"/>
        </w:tc>
        <w:tc>
          <w:tcPr>
            <w:tcW w:w="2397" w:type="dxa"/>
            <w:vMerge/>
            <w:tcBorders>
              <w:left w:val="single" w:sz="4" w:space="0" w:color="auto"/>
              <w:right w:val="single" w:sz="4" w:space="0" w:color="auto"/>
            </w:tcBorders>
          </w:tcPr>
          <w:p w:rsidR="00DD5B6C" w:rsidRPr="004A3DDE" w:rsidRDefault="00DD5B6C" w:rsidP="00CF3EB2"/>
        </w:tc>
        <w:tc>
          <w:tcPr>
            <w:tcW w:w="512" w:type="dxa"/>
            <w:tcBorders>
              <w:left w:val="single" w:sz="4" w:space="0" w:color="auto"/>
            </w:tcBorders>
            <w:shd w:val="clear" w:color="auto" w:fill="FFFFFF" w:themeFill="background1"/>
          </w:tcPr>
          <w:p w:rsidR="00DD5B6C" w:rsidRPr="004A3DDE" w:rsidRDefault="00DD5B6C"/>
        </w:tc>
        <w:tc>
          <w:tcPr>
            <w:tcW w:w="503" w:type="dxa"/>
            <w:shd w:val="clear" w:color="auto" w:fill="FFFFFF" w:themeFill="background1"/>
          </w:tcPr>
          <w:p w:rsidR="00DD5B6C" w:rsidRPr="004A3DDE" w:rsidRDefault="00DD5B6C"/>
        </w:tc>
        <w:tc>
          <w:tcPr>
            <w:tcW w:w="503" w:type="dxa"/>
            <w:shd w:val="clear" w:color="auto" w:fill="FFFFFF" w:themeFill="background1"/>
          </w:tcPr>
          <w:p w:rsidR="00DD5B6C" w:rsidRPr="004A3DDE" w:rsidRDefault="00DD5B6C"/>
        </w:tc>
        <w:tc>
          <w:tcPr>
            <w:tcW w:w="503" w:type="dxa"/>
            <w:shd w:val="clear" w:color="auto" w:fill="4F81BD" w:themeFill="accent1"/>
          </w:tcPr>
          <w:p w:rsidR="00DD5B6C" w:rsidRPr="004A3DDE" w:rsidRDefault="00DD5B6C"/>
        </w:tc>
        <w:tc>
          <w:tcPr>
            <w:tcW w:w="513" w:type="dxa"/>
            <w:shd w:val="clear" w:color="auto" w:fill="4F81BD" w:themeFill="accent1"/>
          </w:tcPr>
          <w:p w:rsidR="00DD5B6C" w:rsidRPr="004A3DDE" w:rsidRDefault="00DD5B6C"/>
        </w:tc>
        <w:tc>
          <w:tcPr>
            <w:tcW w:w="503" w:type="dxa"/>
            <w:shd w:val="clear" w:color="auto" w:fill="4F81BD" w:themeFill="accent1"/>
          </w:tcPr>
          <w:p w:rsidR="00DD5B6C" w:rsidRPr="004A3DDE" w:rsidRDefault="00DD5B6C"/>
        </w:tc>
        <w:tc>
          <w:tcPr>
            <w:tcW w:w="503" w:type="dxa"/>
            <w:shd w:val="clear" w:color="auto" w:fill="4F81BD" w:themeFill="accent1"/>
          </w:tcPr>
          <w:p w:rsidR="00DD5B6C" w:rsidRPr="004A3DDE" w:rsidRDefault="00DD5B6C"/>
        </w:tc>
        <w:tc>
          <w:tcPr>
            <w:tcW w:w="503" w:type="dxa"/>
            <w:shd w:val="clear" w:color="auto" w:fill="4F81BD" w:themeFill="accent1"/>
          </w:tcPr>
          <w:p w:rsidR="00DD5B6C" w:rsidRPr="004A3DDE" w:rsidRDefault="00DD5B6C"/>
        </w:tc>
        <w:tc>
          <w:tcPr>
            <w:tcW w:w="1200" w:type="dxa"/>
          </w:tcPr>
          <w:p w:rsidR="00DD5B6C" w:rsidRPr="004A3DDE" w:rsidRDefault="00DD5B6C" w:rsidP="00715198">
            <w:pPr>
              <w:jc w:val="right"/>
            </w:pPr>
          </w:p>
        </w:tc>
        <w:tc>
          <w:tcPr>
            <w:tcW w:w="1192" w:type="dxa"/>
            <w:vAlign w:val="center"/>
          </w:tcPr>
          <w:p w:rsidR="00DD5B6C" w:rsidRPr="004A3DDE" w:rsidRDefault="00DD5B6C" w:rsidP="00F5515E">
            <w:pPr>
              <w:jc w:val="right"/>
            </w:pPr>
            <w:r>
              <w:t>155,000</w:t>
            </w:r>
          </w:p>
        </w:tc>
        <w:tc>
          <w:tcPr>
            <w:tcW w:w="1192" w:type="dxa"/>
            <w:vAlign w:val="center"/>
          </w:tcPr>
          <w:p w:rsidR="00DD5B6C" w:rsidRDefault="00F5515E" w:rsidP="00F5515E">
            <w:pPr>
              <w:jc w:val="right"/>
            </w:pPr>
            <w:r>
              <w:t>155,000</w:t>
            </w:r>
          </w:p>
        </w:tc>
      </w:tr>
      <w:tr w:rsidR="00DD5B6C" w:rsidTr="00F5515E">
        <w:trPr>
          <w:cantSplit/>
        </w:trPr>
        <w:tc>
          <w:tcPr>
            <w:tcW w:w="1598" w:type="dxa"/>
            <w:vMerge w:val="restart"/>
            <w:shd w:val="clear" w:color="auto" w:fill="FFFFFF" w:themeFill="background1"/>
          </w:tcPr>
          <w:p w:rsidR="00DD5B6C" w:rsidRPr="004A3DDE" w:rsidRDefault="00DD5B6C" w:rsidP="00CF3EB2">
            <w:pPr>
              <w:rPr>
                <w:b/>
              </w:rPr>
            </w:pPr>
            <w:r w:rsidRPr="00937A55">
              <w:lastRenderedPageBreak/>
              <w:t>Expected Result 1</w:t>
            </w:r>
            <w:r>
              <w:t xml:space="preserve">  </w:t>
            </w:r>
            <w:r w:rsidRPr="00D0174E">
              <w:rPr>
                <w:i/>
              </w:rPr>
              <w:t>(cont.)</w:t>
            </w:r>
          </w:p>
        </w:tc>
        <w:tc>
          <w:tcPr>
            <w:tcW w:w="1576" w:type="dxa"/>
            <w:shd w:val="clear" w:color="auto" w:fill="FFFFFF" w:themeFill="background1"/>
          </w:tcPr>
          <w:p w:rsidR="00DD5B6C" w:rsidRPr="00D0174E" w:rsidRDefault="00DD5B6C" w:rsidP="00CF3EB2">
            <w:r w:rsidRPr="00D0174E">
              <w:t>National grievance guidance and mechanisms developed in at least 3 Partner Countries</w:t>
            </w:r>
          </w:p>
        </w:tc>
        <w:tc>
          <w:tcPr>
            <w:tcW w:w="1418" w:type="dxa"/>
            <w:vMerge w:val="restart"/>
            <w:shd w:val="clear" w:color="auto" w:fill="FFFFFF" w:themeFill="background1"/>
          </w:tcPr>
          <w:p w:rsidR="00DD5B6C" w:rsidRPr="00D0174E" w:rsidRDefault="00DD5B6C" w:rsidP="00CF3EB2">
            <w:pPr>
              <w:rPr>
                <w:i/>
              </w:rPr>
            </w:pPr>
            <w:r w:rsidRPr="00D0174E">
              <w:rPr>
                <w:i/>
              </w:rPr>
              <w:t>UNDP</w:t>
            </w:r>
          </w:p>
        </w:tc>
        <w:tc>
          <w:tcPr>
            <w:tcW w:w="2397" w:type="dxa"/>
            <w:vMerge w:val="restart"/>
            <w:shd w:val="clear" w:color="auto" w:fill="FFFFFF" w:themeFill="background1"/>
          </w:tcPr>
          <w:p w:rsidR="00DD5B6C" w:rsidRPr="00D0174E" w:rsidRDefault="00DD5B6C" w:rsidP="00CF3EB2">
            <w:pPr>
              <w:rPr>
                <w:i/>
              </w:rPr>
            </w:pPr>
            <w:r w:rsidRPr="00D0174E">
              <w:rPr>
                <w:i/>
              </w:rPr>
              <w:t>(As above)</w:t>
            </w:r>
          </w:p>
        </w:tc>
        <w:tc>
          <w:tcPr>
            <w:tcW w:w="512" w:type="dxa"/>
            <w:shd w:val="clear" w:color="auto" w:fill="FFFFFF" w:themeFill="background1"/>
          </w:tcPr>
          <w:p w:rsidR="00DD5B6C" w:rsidRPr="004A3DDE" w:rsidRDefault="00DD5B6C">
            <w:pPr>
              <w:rPr>
                <w:b/>
              </w:rPr>
            </w:pPr>
          </w:p>
        </w:tc>
        <w:tc>
          <w:tcPr>
            <w:tcW w:w="503" w:type="dxa"/>
            <w:shd w:val="clear" w:color="auto" w:fill="4F81BD" w:themeFill="accent1"/>
          </w:tcPr>
          <w:p w:rsidR="00DD5B6C" w:rsidRPr="004A3DDE" w:rsidRDefault="00DD5B6C">
            <w:pPr>
              <w:rPr>
                <w:b/>
              </w:rPr>
            </w:pPr>
          </w:p>
        </w:tc>
        <w:tc>
          <w:tcPr>
            <w:tcW w:w="503" w:type="dxa"/>
            <w:shd w:val="clear" w:color="auto" w:fill="4F81BD" w:themeFill="accent1"/>
          </w:tcPr>
          <w:p w:rsidR="00DD5B6C" w:rsidRPr="004A3DDE" w:rsidRDefault="00DD5B6C">
            <w:pPr>
              <w:rPr>
                <w:b/>
              </w:rPr>
            </w:pPr>
          </w:p>
        </w:tc>
        <w:tc>
          <w:tcPr>
            <w:tcW w:w="503" w:type="dxa"/>
            <w:shd w:val="clear" w:color="auto" w:fill="4F81BD" w:themeFill="accent1"/>
          </w:tcPr>
          <w:p w:rsidR="00DD5B6C" w:rsidRPr="004A3DDE" w:rsidRDefault="00DD5B6C">
            <w:pPr>
              <w:rPr>
                <w:b/>
              </w:rPr>
            </w:pPr>
          </w:p>
        </w:tc>
        <w:tc>
          <w:tcPr>
            <w:tcW w:w="513" w:type="dxa"/>
            <w:shd w:val="clear" w:color="auto" w:fill="4F81BD" w:themeFill="accent1"/>
          </w:tcPr>
          <w:p w:rsidR="00DD5B6C" w:rsidRPr="004A3DDE" w:rsidRDefault="00DD5B6C">
            <w:pPr>
              <w:rPr>
                <w:b/>
              </w:rPr>
            </w:pPr>
          </w:p>
        </w:tc>
        <w:tc>
          <w:tcPr>
            <w:tcW w:w="503" w:type="dxa"/>
            <w:shd w:val="clear" w:color="auto" w:fill="4F81BD" w:themeFill="accent1"/>
          </w:tcPr>
          <w:p w:rsidR="00DD5B6C" w:rsidRPr="004A3DDE" w:rsidRDefault="00DD5B6C">
            <w:pPr>
              <w:rPr>
                <w:b/>
              </w:rPr>
            </w:pPr>
          </w:p>
        </w:tc>
        <w:tc>
          <w:tcPr>
            <w:tcW w:w="503" w:type="dxa"/>
            <w:shd w:val="clear" w:color="auto" w:fill="4F81BD" w:themeFill="accent1"/>
          </w:tcPr>
          <w:p w:rsidR="00DD5B6C" w:rsidRPr="004A3DDE" w:rsidRDefault="00DD5B6C">
            <w:pPr>
              <w:rPr>
                <w:b/>
              </w:rPr>
            </w:pPr>
          </w:p>
        </w:tc>
        <w:tc>
          <w:tcPr>
            <w:tcW w:w="503" w:type="dxa"/>
            <w:shd w:val="clear" w:color="auto" w:fill="FFFFFF" w:themeFill="background1"/>
          </w:tcPr>
          <w:p w:rsidR="00DD5B6C" w:rsidRPr="004A3DDE" w:rsidRDefault="00DD5B6C">
            <w:pPr>
              <w:rPr>
                <w:b/>
              </w:rPr>
            </w:pPr>
          </w:p>
        </w:tc>
        <w:tc>
          <w:tcPr>
            <w:tcW w:w="1200" w:type="dxa"/>
            <w:shd w:val="clear" w:color="auto" w:fill="FFFFFF" w:themeFill="background1"/>
            <w:vAlign w:val="center"/>
          </w:tcPr>
          <w:p w:rsidR="00DD5B6C" w:rsidRPr="00D0174E" w:rsidRDefault="00DD5B6C" w:rsidP="00F5515E">
            <w:pPr>
              <w:jc w:val="right"/>
            </w:pPr>
            <w:r w:rsidRPr="00D0174E">
              <w:t>255,000</w:t>
            </w:r>
          </w:p>
        </w:tc>
        <w:tc>
          <w:tcPr>
            <w:tcW w:w="1192" w:type="dxa"/>
            <w:shd w:val="clear" w:color="auto" w:fill="FFFFFF" w:themeFill="background1"/>
          </w:tcPr>
          <w:p w:rsidR="00DD5B6C" w:rsidRPr="00D0174E" w:rsidRDefault="00DD5B6C" w:rsidP="00715198">
            <w:pPr>
              <w:jc w:val="right"/>
            </w:pPr>
          </w:p>
        </w:tc>
        <w:tc>
          <w:tcPr>
            <w:tcW w:w="1192" w:type="dxa"/>
            <w:shd w:val="clear" w:color="auto" w:fill="FFFFFF" w:themeFill="background1"/>
            <w:vAlign w:val="center"/>
          </w:tcPr>
          <w:p w:rsidR="00DD5B6C" w:rsidRPr="00D0174E" w:rsidRDefault="00F5515E" w:rsidP="00F5515E">
            <w:pPr>
              <w:jc w:val="right"/>
            </w:pPr>
            <w:r>
              <w:t>255,000</w:t>
            </w:r>
          </w:p>
        </w:tc>
      </w:tr>
      <w:tr w:rsidR="00DD5B6C" w:rsidTr="00F5515E">
        <w:tc>
          <w:tcPr>
            <w:tcW w:w="1598" w:type="dxa"/>
            <w:vMerge/>
            <w:shd w:val="clear" w:color="auto" w:fill="FFFFFF" w:themeFill="background1"/>
          </w:tcPr>
          <w:p w:rsidR="00DD5B6C" w:rsidRPr="004A3DDE" w:rsidRDefault="00DD5B6C" w:rsidP="00CF3EB2">
            <w:pPr>
              <w:rPr>
                <w:b/>
              </w:rPr>
            </w:pPr>
          </w:p>
        </w:tc>
        <w:tc>
          <w:tcPr>
            <w:tcW w:w="1576" w:type="dxa"/>
            <w:shd w:val="clear" w:color="auto" w:fill="FFFFFF" w:themeFill="background1"/>
          </w:tcPr>
          <w:p w:rsidR="00DD5B6C" w:rsidRPr="00D0174E" w:rsidRDefault="00DD5B6C" w:rsidP="00CF3EB2">
            <w:r w:rsidRPr="00D0174E">
              <w:t>Same in at least a further 2 Partner Countries</w:t>
            </w:r>
          </w:p>
        </w:tc>
        <w:tc>
          <w:tcPr>
            <w:tcW w:w="1418" w:type="dxa"/>
            <w:vMerge/>
            <w:shd w:val="clear" w:color="auto" w:fill="FFFFFF" w:themeFill="background1"/>
          </w:tcPr>
          <w:p w:rsidR="00DD5B6C" w:rsidRPr="004A3DDE" w:rsidRDefault="00DD5B6C" w:rsidP="00CF3EB2">
            <w:pPr>
              <w:rPr>
                <w:b/>
              </w:rPr>
            </w:pPr>
          </w:p>
        </w:tc>
        <w:tc>
          <w:tcPr>
            <w:tcW w:w="2397" w:type="dxa"/>
            <w:vMerge/>
            <w:shd w:val="clear" w:color="auto" w:fill="FFFFFF" w:themeFill="background1"/>
          </w:tcPr>
          <w:p w:rsidR="00DD5B6C" w:rsidRPr="004A3DDE" w:rsidRDefault="00DD5B6C" w:rsidP="00CF3EB2">
            <w:pPr>
              <w:rPr>
                <w:b/>
              </w:rPr>
            </w:pPr>
          </w:p>
        </w:tc>
        <w:tc>
          <w:tcPr>
            <w:tcW w:w="512" w:type="dxa"/>
            <w:shd w:val="clear" w:color="auto" w:fill="FFFFFF" w:themeFill="background1"/>
          </w:tcPr>
          <w:p w:rsidR="00DD5B6C" w:rsidRPr="004A3DDE" w:rsidRDefault="00DD5B6C">
            <w:pPr>
              <w:rPr>
                <w:b/>
              </w:rPr>
            </w:pPr>
          </w:p>
        </w:tc>
        <w:tc>
          <w:tcPr>
            <w:tcW w:w="503" w:type="dxa"/>
            <w:shd w:val="clear" w:color="auto" w:fill="FFFFFF" w:themeFill="background1"/>
          </w:tcPr>
          <w:p w:rsidR="00DD5B6C" w:rsidRPr="004A3DDE" w:rsidRDefault="00DD5B6C">
            <w:pPr>
              <w:rPr>
                <w:b/>
              </w:rPr>
            </w:pPr>
          </w:p>
        </w:tc>
        <w:tc>
          <w:tcPr>
            <w:tcW w:w="503" w:type="dxa"/>
            <w:shd w:val="clear" w:color="auto" w:fill="FFFFFF" w:themeFill="background1"/>
          </w:tcPr>
          <w:p w:rsidR="00DD5B6C" w:rsidRPr="004A3DDE" w:rsidRDefault="00DD5B6C">
            <w:pPr>
              <w:rPr>
                <w:b/>
              </w:rPr>
            </w:pPr>
          </w:p>
        </w:tc>
        <w:tc>
          <w:tcPr>
            <w:tcW w:w="503" w:type="dxa"/>
            <w:shd w:val="clear" w:color="auto" w:fill="FFFFFF" w:themeFill="background1"/>
          </w:tcPr>
          <w:p w:rsidR="00DD5B6C" w:rsidRPr="004A3DDE" w:rsidRDefault="00DD5B6C">
            <w:pPr>
              <w:rPr>
                <w:b/>
              </w:rPr>
            </w:pPr>
          </w:p>
        </w:tc>
        <w:tc>
          <w:tcPr>
            <w:tcW w:w="513" w:type="dxa"/>
            <w:shd w:val="clear" w:color="auto" w:fill="FFFFFF" w:themeFill="background1"/>
          </w:tcPr>
          <w:p w:rsidR="00DD5B6C" w:rsidRPr="004A3DDE" w:rsidRDefault="00DD5B6C">
            <w:pPr>
              <w:rPr>
                <w:b/>
              </w:rPr>
            </w:pPr>
          </w:p>
        </w:tc>
        <w:tc>
          <w:tcPr>
            <w:tcW w:w="503" w:type="dxa"/>
            <w:shd w:val="clear" w:color="auto" w:fill="4F81BD" w:themeFill="accent1"/>
          </w:tcPr>
          <w:p w:rsidR="00DD5B6C" w:rsidRPr="004A3DDE" w:rsidRDefault="00DD5B6C">
            <w:pPr>
              <w:rPr>
                <w:b/>
              </w:rPr>
            </w:pPr>
          </w:p>
        </w:tc>
        <w:tc>
          <w:tcPr>
            <w:tcW w:w="503" w:type="dxa"/>
            <w:shd w:val="clear" w:color="auto" w:fill="4F81BD" w:themeFill="accent1"/>
          </w:tcPr>
          <w:p w:rsidR="00DD5B6C" w:rsidRPr="004A3DDE" w:rsidRDefault="00DD5B6C">
            <w:pPr>
              <w:rPr>
                <w:b/>
              </w:rPr>
            </w:pPr>
          </w:p>
        </w:tc>
        <w:tc>
          <w:tcPr>
            <w:tcW w:w="503" w:type="dxa"/>
            <w:shd w:val="clear" w:color="auto" w:fill="4F81BD" w:themeFill="accent1"/>
          </w:tcPr>
          <w:p w:rsidR="00DD5B6C" w:rsidRPr="004A3DDE" w:rsidRDefault="00DD5B6C">
            <w:pPr>
              <w:rPr>
                <w:b/>
              </w:rPr>
            </w:pPr>
          </w:p>
        </w:tc>
        <w:tc>
          <w:tcPr>
            <w:tcW w:w="1200" w:type="dxa"/>
            <w:shd w:val="clear" w:color="auto" w:fill="FFFFFF" w:themeFill="background1"/>
          </w:tcPr>
          <w:p w:rsidR="00DD5B6C" w:rsidRPr="004A3DDE" w:rsidRDefault="00DD5B6C" w:rsidP="00715198">
            <w:pPr>
              <w:jc w:val="right"/>
              <w:rPr>
                <w:b/>
              </w:rPr>
            </w:pPr>
          </w:p>
        </w:tc>
        <w:tc>
          <w:tcPr>
            <w:tcW w:w="1192" w:type="dxa"/>
            <w:shd w:val="clear" w:color="auto" w:fill="FFFFFF" w:themeFill="background1"/>
            <w:vAlign w:val="center"/>
          </w:tcPr>
          <w:p w:rsidR="00DD5B6C" w:rsidRPr="00D0174E" w:rsidRDefault="00DD5B6C" w:rsidP="00F5515E">
            <w:pPr>
              <w:jc w:val="right"/>
            </w:pPr>
            <w:r w:rsidRPr="00D0174E">
              <w:t>190,000</w:t>
            </w:r>
          </w:p>
        </w:tc>
        <w:tc>
          <w:tcPr>
            <w:tcW w:w="1192" w:type="dxa"/>
            <w:shd w:val="clear" w:color="auto" w:fill="FFFFFF" w:themeFill="background1"/>
            <w:vAlign w:val="center"/>
          </w:tcPr>
          <w:p w:rsidR="00DD5B6C" w:rsidRPr="00D0174E" w:rsidRDefault="00F5515E" w:rsidP="00F5515E">
            <w:pPr>
              <w:jc w:val="right"/>
            </w:pPr>
            <w:r>
              <w:t>190,000</w:t>
            </w:r>
          </w:p>
        </w:tc>
      </w:tr>
      <w:tr w:rsidR="00DD5B6C" w:rsidTr="00F5515E">
        <w:tc>
          <w:tcPr>
            <w:tcW w:w="1598" w:type="dxa"/>
            <w:shd w:val="clear" w:color="auto" w:fill="D9D9D9" w:themeFill="background1" w:themeFillShade="D9"/>
          </w:tcPr>
          <w:p w:rsidR="00DD5B6C" w:rsidRPr="004A3DDE" w:rsidRDefault="00DD5B6C" w:rsidP="00CF3EB2">
            <w:pPr>
              <w:rPr>
                <w:b/>
              </w:rPr>
            </w:pPr>
            <w:r w:rsidRPr="004A3DDE">
              <w:rPr>
                <w:b/>
              </w:rPr>
              <w:t>Sub-total</w:t>
            </w:r>
            <w:r>
              <w:rPr>
                <w:b/>
              </w:rPr>
              <w:t>, Result 1</w:t>
            </w:r>
          </w:p>
        </w:tc>
        <w:tc>
          <w:tcPr>
            <w:tcW w:w="1576" w:type="dxa"/>
            <w:shd w:val="clear" w:color="auto" w:fill="D9D9D9" w:themeFill="background1" w:themeFillShade="D9"/>
          </w:tcPr>
          <w:p w:rsidR="00DD5B6C" w:rsidRPr="004A3DDE" w:rsidRDefault="00DD5B6C" w:rsidP="00CF3EB2">
            <w:pPr>
              <w:rPr>
                <w:b/>
              </w:rPr>
            </w:pPr>
          </w:p>
        </w:tc>
        <w:tc>
          <w:tcPr>
            <w:tcW w:w="1418" w:type="dxa"/>
            <w:shd w:val="clear" w:color="auto" w:fill="D9D9D9" w:themeFill="background1" w:themeFillShade="D9"/>
          </w:tcPr>
          <w:p w:rsidR="00DD5B6C" w:rsidRPr="004A3DDE" w:rsidRDefault="00DD5B6C" w:rsidP="00CF3EB2">
            <w:pPr>
              <w:rPr>
                <w:b/>
              </w:rPr>
            </w:pPr>
          </w:p>
        </w:tc>
        <w:tc>
          <w:tcPr>
            <w:tcW w:w="2397" w:type="dxa"/>
            <w:shd w:val="clear" w:color="auto" w:fill="D9D9D9" w:themeFill="background1" w:themeFillShade="D9"/>
          </w:tcPr>
          <w:p w:rsidR="00DD5B6C" w:rsidRPr="004A3DDE" w:rsidRDefault="00DD5B6C" w:rsidP="00CF3EB2">
            <w:pPr>
              <w:rPr>
                <w:b/>
              </w:rPr>
            </w:pPr>
          </w:p>
        </w:tc>
        <w:tc>
          <w:tcPr>
            <w:tcW w:w="512" w:type="dxa"/>
            <w:shd w:val="clear" w:color="auto" w:fill="D9D9D9" w:themeFill="background1" w:themeFillShade="D9"/>
          </w:tcPr>
          <w:p w:rsidR="00DD5B6C" w:rsidRPr="004A3DDE" w:rsidRDefault="00DD5B6C">
            <w:pPr>
              <w:rPr>
                <w:b/>
              </w:rPr>
            </w:pPr>
          </w:p>
        </w:tc>
        <w:tc>
          <w:tcPr>
            <w:tcW w:w="503" w:type="dxa"/>
            <w:shd w:val="clear" w:color="auto" w:fill="D9D9D9" w:themeFill="background1" w:themeFillShade="D9"/>
          </w:tcPr>
          <w:p w:rsidR="00DD5B6C" w:rsidRPr="004A3DDE" w:rsidRDefault="00DD5B6C">
            <w:pPr>
              <w:rPr>
                <w:b/>
              </w:rPr>
            </w:pPr>
          </w:p>
        </w:tc>
        <w:tc>
          <w:tcPr>
            <w:tcW w:w="503" w:type="dxa"/>
            <w:shd w:val="clear" w:color="auto" w:fill="D9D9D9" w:themeFill="background1" w:themeFillShade="D9"/>
          </w:tcPr>
          <w:p w:rsidR="00DD5B6C" w:rsidRPr="004A3DDE" w:rsidRDefault="00DD5B6C">
            <w:pPr>
              <w:rPr>
                <w:b/>
              </w:rPr>
            </w:pPr>
          </w:p>
        </w:tc>
        <w:tc>
          <w:tcPr>
            <w:tcW w:w="503" w:type="dxa"/>
            <w:shd w:val="clear" w:color="auto" w:fill="D9D9D9" w:themeFill="background1" w:themeFillShade="D9"/>
          </w:tcPr>
          <w:p w:rsidR="00DD5B6C" w:rsidRPr="004A3DDE" w:rsidRDefault="00DD5B6C">
            <w:pPr>
              <w:rPr>
                <w:b/>
              </w:rPr>
            </w:pPr>
          </w:p>
        </w:tc>
        <w:tc>
          <w:tcPr>
            <w:tcW w:w="513" w:type="dxa"/>
            <w:shd w:val="clear" w:color="auto" w:fill="D9D9D9" w:themeFill="background1" w:themeFillShade="D9"/>
          </w:tcPr>
          <w:p w:rsidR="00DD5B6C" w:rsidRPr="004A3DDE" w:rsidRDefault="00DD5B6C">
            <w:pPr>
              <w:rPr>
                <w:b/>
              </w:rPr>
            </w:pPr>
          </w:p>
        </w:tc>
        <w:tc>
          <w:tcPr>
            <w:tcW w:w="503" w:type="dxa"/>
            <w:shd w:val="clear" w:color="auto" w:fill="D9D9D9" w:themeFill="background1" w:themeFillShade="D9"/>
          </w:tcPr>
          <w:p w:rsidR="00DD5B6C" w:rsidRPr="004A3DDE" w:rsidRDefault="00DD5B6C">
            <w:pPr>
              <w:rPr>
                <w:b/>
              </w:rPr>
            </w:pPr>
          </w:p>
        </w:tc>
        <w:tc>
          <w:tcPr>
            <w:tcW w:w="503" w:type="dxa"/>
            <w:shd w:val="clear" w:color="auto" w:fill="D9D9D9" w:themeFill="background1" w:themeFillShade="D9"/>
          </w:tcPr>
          <w:p w:rsidR="00DD5B6C" w:rsidRPr="004A3DDE" w:rsidRDefault="00DD5B6C">
            <w:pPr>
              <w:rPr>
                <w:b/>
              </w:rPr>
            </w:pPr>
          </w:p>
        </w:tc>
        <w:tc>
          <w:tcPr>
            <w:tcW w:w="503" w:type="dxa"/>
            <w:shd w:val="clear" w:color="auto" w:fill="D9D9D9" w:themeFill="background1" w:themeFillShade="D9"/>
          </w:tcPr>
          <w:p w:rsidR="00DD5B6C" w:rsidRPr="004A3DDE" w:rsidRDefault="00DD5B6C">
            <w:pPr>
              <w:rPr>
                <w:b/>
              </w:rPr>
            </w:pPr>
          </w:p>
        </w:tc>
        <w:tc>
          <w:tcPr>
            <w:tcW w:w="1200" w:type="dxa"/>
            <w:shd w:val="clear" w:color="auto" w:fill="D9D9D9" w:themeFill="background1" w:themeFillShade="D9"/>
            <w:vAlign w:val="center"/>
          </w:tcPr>
          <w:p w:rsidR="00DD5B6C" w:rsidRPr="004A3DDE" w:rsidRDefault="00DD5B6C" w:rsidP="00F5515E">
            <w:pPr>
              <w:jc w:val="right"/>
              <w:rPr>
                <w:b/>
              </w:rPr>
            </w:pPr>
            <w:r>
              <w:rPr>
                <w:b/>
              </w:rPr>
              <w:t>685,000</w:t>
            </w:r>
          </w:p>
        </w:tc>
        <w:tc>
          <w:tcPr>
            <w:tcW w:w="1192" w:type="dxa"/>
            <w:shd w:val="clear" w:color="auto" w:fill="D9D9D9" w:themeFill="background1" w:themeFillShade="D9"/>
            <w:vAlign w:val="center"/>
          </w:tcPr>
          <w:p w:rsidR="00DD5B6C" w:rsidRPr="004A3DDE" w:rsidRDefault="00DD5B6C" w:rsidP="00F5515E">
            <w:pPr>
              <w:jc w:val="right"/>
              <w:rPr>
                <w:b/>
              </w:rPr>
            </w:pPr>
            <w:r>
              <w:rPr>
                <w:b/>
              </w:rPr>
              <w:t>565,000</w:t>
            </w:r>
          </w:p>
        </w:tc>
        <w:tc>
          <w:tcPr>
            <w:tcW w:w="1192" w:type="dxa"/>
            <w:shd w:val="clear" w:color="auto" w:fill="D9D9D9" w:themeFill="background1" w:themeFillShade="D9"/>
            <w:vAlign w:val="center"/>
          </w:tcPr>
          <w:p w:rsidR="00DD5B6C" w:rsidRDefault="00F5515E" w:rsidP="00F5515E">
            <w:pPr>
              <w:jc w:val="right"/>
              <w:rPr>
                <w:b/>
              </w:rPr>
            </w:pPr>
            <w:r>
              <w:rPr>
                <w:b/>
              </w:rPr>
              <w:t>1,250,000</w:t>
            </w:r>
          </w:p>
        </w:tc>
      </w:tr>
      <w:tr w:rsidR="00DD5B6C" w:rsidRPr="00F5515E" w:rsidTr="00F5515E">
        <w:trPr>
          <w:cantSplit/>
        </w:trPr>
        <w:tc>
          <w:tcPr>
            <w:tcW w:w="1598" w:type="dxa"/>
            <w:vMerge w:val="restart"/>
            <w:shd w:val="clear" w:color="auto" w:fill="FFFFFF" w:themeFill="background1"/>
          </w:tcPr>
          <w:p w:rsidR="00DD5B6C" w:rsidRPr="00715198" w:rsidRDefault="00DD5B6C" w:rsidP="001A291E">
            <w:r>
              <w:t>Expected Result 2</w:t>
            </w:r>
            <w:r>
              <w:rPr>
                <w:rStyle w:val="FootnoteReference"/>
                <w:rFonts w:ascii="Verdana" w:hAnsi="Verdana"/>
                <w:sz w:val="18"/>
                <w:szCs w:val="18"/>
                <w:lang w:val="en-US" w:eastAsia="en-US"/>
              </w:rPr>
              <w:footnoteReference w:id="7"/>
            </w:r>
            <w:r>
              <w:t xml:space="preserve">: </w:t>
            </w:r>
            <w:r w:rsidRPr="00DD5B6C">
              <w:t>Supported countries have strong mechanisms and institutions to ensure the full and effective participation of stakeholders in national REDD+ processes</w:t>
            </w:r>
          </w:p>
        </w:tc>
        <w:tc>
          <w:tcPr>
            <w:tcW w:w="1576" w:type="dxa"/>
            <w:shd w:val="clear" w:color="auto" w:fill="FFFFFF" w:themeFill="background1"/>
          </w:tcPr>
          <w:p w:rsidR="00DD5B6C" w:rsidRPr="00715198" w:rsidRDefault="00DD5B6C" w:rsidP="00CF3EB2">
            <w:r w:rsidRPr="00DD5B6C">
              <w:t>IPs and CSOs able to access and effectively participate in national REDD+ processes via stakeholders platforms and networks in at least 4 Partner Countries</w:t>
            </w:r>
          </w:p>
        </w:tc>
        <w:tc>
          <w:tcPr>
            <w:tcW w:w="1418" w:type="dxa"/>
            <w:vMerge w:val="restart"/>
            <w:shd w:val="clear" w:color="auto" w:fill="FFFFFF" w:themeFill="background1"/>
          </w:tcPr>
          <w:p w:rsidR="00DD5B6C" w:rsidRPr="00715198" w:rsidRDefault="00DD5B6C" w:rsidP="00CF3EB2">
            <w:r>
              <w:t>UNDP</w:t>
            </w:r>
          </w:p>
        </w:tc>
        <w:tc>
          <w:tcPr>
            <w:tcW w:w="2397" w:type="dxa"/>
            <w:vMerge w:val="restart"/>
            <w:shd w:val="clear" w:color="auto" w:fill="FFFFFF" w:themeFill="background1"/>
          </w:tcPr>
          <w:p w:rsidR="00DD5B6C" w:rsidRPr="00715198" w:rsidRDefault="00DD5B6C" w:rsidP="00CF3EB2">
            <w:r w:rsidRPr="00DD5B6C">
              <w:t xml:space="preserve">Consultations with existing organizations/networks; Creation/strengthening of national REDD+ multi-stakeholder platforms;  Strengthening of key national and local stakeholder networks/organizations; Capacity gap analyses; Capacity building workshops for target stakeholder groups; Translation and </w:t>
            </w:r>
            <w:r w:rsidRPr="00DD5B6C">
              <w:lastRenderedPageBreak/>
              <w:t>dissemination of key materials</w:t>
            </w:r>
          </w:p>
        </w:tc>
        <w:tc>
          <w:tcPr>
            <w:tcW w:w="512" w:type="dxa"/>
            <w:shd w:val="clear" w:color="auto" w:fill="4F81BD" w:themeFill="accent1"/>
          </w:tcPr>
          <w:p w:rsidR="00DD5B6C" w:rsidRPr="00715198" w:rsidRDefault="00DD5B6C"/>
        </w:tc>
        <w:tc>
          <w:tcPr>
            <w:tcW w:w="503" w:type="dxa"/>
            <w:shd w:val="clear" w:color="auto" w:fill="4F81BD" w:themeFill="accent1"/>
          </w:tcPr>
          <w:p w:rsidR="00DD5B6C" w:rsidRPr="00715198" w:rsidRDefault="00DD5B6C"/>
        </w:tc>
        <w:tc>
          <w:tcPr>
            <w:tcW w:w="503" w:type="dxa"/>
            <w:shd w:val="clear" w:color="auto" w:fill="4F81BD" w:themeFill="accent1"/>
          </w:tcPr>
          <w:p w:rsidR="00DD5B6C" w:rsidRPr="00715198" w:rsidRDefault="00DD5B6C"/>
        </w:tc>
        <w:tc>
          <w:tcPr>
            <w:tcW w:w="503" w:type="dxa"/>
            <w:shd w:val="clear" w:color="auto" w:fill="4F81BD" w:themeFill="accent1"/>
          </w:tcPr>
          <w:p w:rsidR="00DD5B6C" w:rsidRPr="00715198" w:rsidRDefault="00DD5B6C"/>
        </w:tc>
        <w:tc>
          <w:tcPr>
            <w:tcW w:w="513" w:type="dxa"/>
            <w:shd w:val="clear" w:color="auto" w:fill="4F81BD" w:themeFill="accent1"/>
          </w:tcPr>
          <w:p w:rsidR="00DD5B6C" w:rsidRPr="00715198" w:rsidRDefault="00DD5B6C"/>
        </w:tc>
        <w:tc>
          <w:tcPr>
            <w:tcW w:w="503" w:type="dxa"/>
            <w:shd w:val="clear" w:color="auto" w:fill="4F81BD" w:themeFill="accent1"/>
          </w:tcPr>
          <w:p w:rsidR="00DD5B6C" w:rsidRPr="00715198" w:rsidRDefault="00DD5B6C"/>
        </w:tc>
        <w:tc>
          <w:tcPr>
            <w:tcW w:w="503" w:type="dxa"/>
            <w:shd w:val="clear" w:color="auto" w:fill="auto"/>
          </w:tcPr>
          <w:p w:rsidR="00DD5B6C" w:rsidRPr="00715198" w:rsidRDefault="00DD5B6C"/>
        </w:tc>
        <w:tc>
          <w:tcPr>
            <w:tcW w:w="503" w:type="dxa"/>
            <w:shd w:val="clear" w:color="auto" w:fill="auto"/>
          </w:tcPr>
          <w:p w:rsidR="00DD5B6C" w:rsidRPr="00715198" w:rsidRDefault="00DD5B6C"/>
        </w:tc>
        <w:tc>
          <w:tcPr>
            <w:tcW w:w="1200" w:type="dxa"/>
            <w:shd w:val="clear" w:color="auto" w:fill="FFFFFF" w:themeFill="background1"/>
            <w:vAlign w:val="center"/>
          </w:tcPr>
          <w:p w:rsidR="00DD5B6C" w:rsidRPr="005A0452" w:rsidRDefault="00DD5B6C" w:rsidP="005A0452">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255,000</w:t>
            </w:r>
          </w:p>
        </w:tc>
        <w:tc>
          <w:tcPr>
            <w:tcW w:w="1192" w:type="dxa"/>
            <w:shd w:val="clear" w:color="auto" w:fill="FFFFFF" w:themeFill="background1"/>
            <w:vAlign w:val="center"/>
          </w:tcPr>
          <w:p w:rsidR="00DD5B6C" w:rsidRPr="005A0452" w:rsidRDefault="00DD5B6C" w:rsidP="005A0452">
            <w:pPr>
              <w:jc w:val="right"/>
              <w:rPr>
                <w:rFonts w:ascii="Calibri" w:eastAsia="Times New Roman" w:hAnsi="Calibri" w:cs="Calibri"/>
                <w:bCs/>
                <w:color w:val="000000"/>
                <w:sz w:val="20"/>
                <w:szCs w:val="20"/>
              </w:rPr>
            </w:pPr>
          </w:p>
        </w:tc>
        <w:tc>
          <w:tcPr>
            <w:tcW w:w="1192" w:type="dxa"/>
            <w:shd w:val="clear" w:color="auto" w:fill="FFFFFF" w:themeFill="background1"/>
            <w:vAlign w:val="center"/>
          </w:tcPr>
          <w:p w:rsidR="00DD5B6C" w:rsidRPr="005A0452" w:rsidRDefault="00F5515E" w:rsidP="00F5515E">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255,000</w:t>
            </w:r>
          </w:p>
        </w:tc>
      </w:tr>
      <w:tr w:rsidR="00DD5B6C" w:rsidTr="00F5515E">
        <w:tc>
          <w:tcPr>
            <w:tcW w:w="1598" w:type="dxa"/>
            <w:vMerge/>
            <w:shd w:val="clear" w:color="auto" w:fill="FFFFFF" w:themeFill="background1"/>
          </w:tcPr>
          <w:p w:rsidR="00DD5B6C" w:rsidRPr="00F66E35" w:rsidRDefault="00DD5B6C" w:rsidP="00CF3EB2"/>
        </w:tc>
        <w:tc>
          <w:tcPr>
            <w:tcW w:w="1576" w:type="dxa"/>
            <w:shd w:val="clear" w:color="auto" w:fill="FFFFFF" w:themeFill="background1"/>
          </w:tcPr>
          <w:p w:rsidR="00DD5B6C" w:rsidRPr="005A0452" w:rsidRDefault="00DD5B6C" w:rsidP="00CF3EB2">
            <w:r>
              <w:t>Same,</w:t>
            </w:r>
            <w:r w:rsidRPr="00DD5B6C">
              <w:t xml:space="preserve"> in at least a further 2 Partner Countries</w:t>
            </w:r>
          </w:p>
        </w:tc>
        <w:tc>
          <w:tcPr>
            <w:tcW w:w="1418" w:type="dxa"/>
            <w:vMerge/>
            <w:shd w:val="clear" w:color="auto" w:fill="FFFFFF" w:themeFill="background1"/>
          </w:tcPr>
          <w:p w:rsidR="00DD5B6C" w:rsidRPr="00F66E35" w:rsidRDefault="00DD5B6C" w:rsidP="00CF3EB2"/>
        </w:tc>
        <w:tc>
          <w:tcPr>
            <w:tcW w:w="2397" w:type="dxa"/>
            <w:vMerge/>
            <w:shd w:val="clear" w:color="auto" w:fill="FFFFFF" w:themeFill="background1"/>
          </w:tcPr>
          <w:p w:rsidR="00DD5B6C" w:rsidRPr="00F66E35" w:rsidRDefault="00DD5B6C" w:rsidP="00CF3EB2"/>
        </w:tc>
        <w:tc>
          <w:tcPr>
            <w:tcW w:w="512" w:type="dxa"/>
            <w:shd w:val="clear" w:color="auto" w:fill="auto"/>
          </w:tcPr>
          <w:p w:rsidR="00DD5B6C" w:rsidRPr="00715198" w:rsidRDefault="00DD5B6C"/>
        </w:tc>
        <w:tc>
          <w:tcPr>
            <w:tcW w:w="503" w:type="dxa"/>
            <w:shd w:val="clear" w:color="auto" w:fill="auto"/>
          </w:tcPr>
          <w:p w:rsidR="00DD5B6C" w:rsidRPr="00715198" w:rsidRDefault="00DD5B6C"/>
        </w:tc>
        <w:tc>
          <w:tcPr>
            <w:tcW w:w="503" w:type="dxa"/>
            <w:shd w:val="clear" w:color="auto" w:fill="auto"/>
          </w:tcPr>
          <w:p w:rsidR="00DD5B6C" w:rsidRPr="00715198" w:rsidRDefault="00DD5B6C"/>
        </w:tc>
        <w:tc>
          <w:tcPr>
            <w:tcW w:w="503" w:type="dxa"/>
            <w:shd w:val="clear" w:color="auto" w:fill="auto"/>
          </w:tcPr>
          <w:p w:rsidR="00DD5B6C" w:rsidRPr="00715198" w:rsidRDefault="00DD5B6C"/>
        </w:tc>
        <w:tc>
          <w:tcPr>
            <w:tcW w:w="513" w:type="dxa"/>
            <w:shd w:val="clear" w:color="auto" w:fill="auto"/>
          </w:tcPr>
          <w:p w:rsidR="00DD5B6C" w:rsidRPr="00715198" w:rsidRDefault="00DD5B6C"/>
        </w:tc>
        <w:tc>
          <w:tcPr>
            <w:tcW w:w="503" w:type="dxa"/>
            <w:shd w:val="clear" w:color="auto" w:fill="4F81BD" w:themeFill="accent1"/>
          </w:tcPr>
          <w:p w:rsidR="00DD5B6C" w:rsidRPr="00715198" w:rsidRDefault="00DD5B6C"/>
        </w:tc>
        <w:tc>
          <w:tcPr>
            <w:tcW w:w="503" w:type="dxa"/>
            <w:shd w:val="clear" w:color="auto" w:fill="4F81BD" w:themeFill="accent1"/>
          </w:tcPr>
          <w:p w:rsidR="00DD5B6C" w:rsidRPr="00715198" w:rsidRDefault="00DD5B6C"/>
        </w:tc>
        <w:tc>
          <w:tcPr>
            <w:tcW w:w="503" w:type="dxa"/>
            <w:shd w:val="clear" w:color="auto" w:fill="4F81BD" w:themeFill="accent1"/>
          </w:tcPr>
          <w:p w:rsidR="00DD5B6C" w:rsidRPr="00715198" w:rsidRDefault="00DD5B6C"/>
        </w:tc>
        <w:tc>
          <w:tcPr>
            <w:tcW w:w="1200" w:type="dxa"/>
            <w:shd w:val="clear" w:color="auto" w:fill="FFFFFF" w:themeFill="background1"/>
            <w:vAlign w:val="center"/>
          </w:tcPr>
          <w:p w:rsidR="00DD5B6C" w:rsidRPr="005A0452" w:rsidRDefault="00DD5B6C" w:rsidP="005A0452">
            <w:pPr>
              <w:jc w:val="right"/>
              <w:rPr>
                <w:rFonts w:ascii="Calibri" w:eastAsia="Times New Roman" w:hAnsi="Calibri" w:cs="Calibri"/>
                <w:bCs/>
                <w:color w:val="000000"/>
                <w:sz w:val="20"/>
                <w:szCs w:val="20"/>
              </w:rPr>
            </w:pPr>
          </w:p>
        </w:tc>
        <w:tc>
          <w:tcPr>
            <w:tcW w:w="1192" w:type="dxa"/>
            <w:shd w:val="clear" w:color="auto" w:fill="FFFFFF" w:themeFill="background1"/>
            <w:vAlign w:val="center"/>
          </w:tcPr>
          <w:p w:rsidR="00DD5B6C" w:rsidRPr="005A0452" w:rsidRDefault="00DD5B6C" w:rsidP="005A0452">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130,000</w:t>
            </w:r>
          </w:p>
        </w:tc>
        <w:tc>
          <w:tcPr>
            <w:tcW w:w="1192" w:type="dxa"/>
            <w:shd w:val="clear" w:color="auto" w:fill="FFFFFF" w:themeFill="background1"/>
            <w:vAlign w:val="center"/>
          </w:tcPr>
          <w:p w:rsidR="00DD5B6C" w:rsidRPr="005A0452" w:rsidRDefault="00F5515E" w:rsidP="00F5515E">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130,000</w:t>
            </w:r>
          </w:p>
        </w:tc>
      </w:tr>
      <w:tr w:rsidR="00DD5B6C" w:rsidTr="00F5515E">
        <w:trPr>
          <w:cantSplit/>
        </w:trPr>
        <w:tc>
          <w:tcPr>
            <w:tcW w:w="1598" w:type="dxa"/>
            <w:vMerge/>
            <w:shd w:val="clear" w:color="auto" w:fill="FFFFFF" w:themeFill="background1"/>
          </w:tcPr>
          <w:p w:rsidR="00DD5B6C" w:rsidRPr="00F66E35" w:rsidRDefault="00DD5B6C" w:rsidP="00CF3EB2"/>
        </w:tc>
        <w:tc>
          <w:tcPr>
            <w:tcW w:w="1576" w:type="dxa"/>
            <w:shd w:val="clear" w:color="auto" w:fill="FFFFFF" w:themeFill="background1"/>
          </w:tcPr>
          <w:p w:rsidR="00DD5B6C" w:rsidRPr="005A0452" w:rsidRDefault="00DD5B6C" w:rsidP="00CF3EB2">
            <w:r w:rsidRPr="00DD5B6C">
              <w:t>Capacity of IPs and CSOs supported to directly engage in national REDD+ processes in at least 4 Partner Countries</w:t>
            </w:r>
          </w:p>
        </w:tc>
        <w:tc>
          <w:tcPr>
            <w:tcW w:w="1418" w:type="dxa"/>
            <w:vMerge/>
            <w:tcBorders>
              <w:bottom w:val="nil"/>
            </w:tcBorders>
            <w:shd w:val="clear" w:color="auto" w:fill="FFFFFF" w:themeFill="background1"/>
          </w:tcPr>
          <w:p w:rsidR="00DD5B6C" w:rsidRPr="00F66E35" w:rsidRDefault="00DD5B6C" w:rsidP="00CF3EB2"/>
        </w:tc>
        <w:tc>
          <w:tcPr>
            <w:tcW w:w="2397" w:type="dxa"/>
            <w:vMerge/>
            <w:shd w:val="clear" w:color="auto" w:fill="FFFFFF" w:themeFill="background1"/>
          </w:tcPr>
          <w:p w:rsidR="00DD5B6C" w:rsidRPr="00F66E35" w:rsidRDefault="00DD5B6C" w:rsidP="00CF3EB2"/>
        </w:tc>
        <w:tc>
          <w:tcPr>
            <w:tcW w:w="512" w:type="dxa"/>
            <w:shd w:val="clear" w:color="auto" w:fill="4F81BD" w:themeFill="accent1"/>
          </w:tcPr>
          <w:p w:rsidR="00DD5B6C" w:rsidRPr="00715198" w:rsidRDefault="00DD5B6C"/>
        </w:tc>
        <w:tc>
          <w:tcPr>
            <w:tcW w:w="503" w:type="dxa"/>
            <w:shd w:val="clear" w:color="auto" w:fill="4F81BD" w:themeFill="accent1"/>
          </w:tcPr>
          <w:p w:rsidR="00DD5B6C" w:rsidRPr="00715198" w:rsidRDefault="00DD5B6C"/>
        </w:tc>
        <w:tc>
          <w:tcPr>
            <w:tcW w:w="503" w:type="dxa"/>
            <w:shd w:val="clear" w:color="auto" w:fill="4F81BD" w:themeFill="accent1"/>
          </w:tcPr>
          <w:p w:rsidR="00DD5B6C" w:rsidRPr="00715198" w:rsidRDefault="00DD5B6C"/>
        </w:tc>
        <w:tc>
          <w:tcPr>
            <w:tcW w:w="503" w:type="dxa"/>
            <w:shd w:val="clear" w:color="auto" w:fill="4F81BD" w:themeFill="accent1"/>
          </w:tcPr>
          <w:p w:rsidR="00DD5B6C" w:rsidRPr="00715198" w:rsidRDefault="00DD5B6C"/>
        </w:tc>
        <w:tc>
          <w:tcPr>
            <w:tcW w:w="513" w:type="dxa"/>
            <w:shd w:val="clear" w:color="auto" w:fill="4F81BD" w:themeFill="accent1"/>
          </w:tcPr>
          <w:p w:rsidR="00DD5B6C" w:rsidRPr="00715198" w:rsidRDefault="00DD5B6C"/>
        </w:tc>
        <w:tc>
          <w:tcPr>
            <w:tcW w:w="503" w:type="dxa"/>
            <w:shd w:val="clear" w:color="auto" w:fill="auto"/>
          </w:tcPr>
          <w:p w:rsidR="00DD5B6C" w:rsidRPr="00715198" w:rsidRDefault="00DD5B6C"/>
        </w:tc>
        <w:tc>
          <w:tcPr>
            <w:tcW w:w="503" w:type="dxa"/>
            <w:shd w:val="clear" w:color="auto" w:fill="auto"/>
          </w:tcPr>
          <w:p w:rsidR="00DD5B6C" w:rsidRPr="00715198" w:rsidRDefault="00DD5B6C"/>
        </w:tc>
        <w:tc>
          <w:tcPr>
            <w:tcW w:w="503" w:type="dxa"/>
            <w:shd w:val="clear" w:color="auto" w:fill="auto"/>
          </w:tcPr>
          <w:p w:rsidR="00DD5B6C" w:rsidRPr="00715198" w:rsidRDefault="00DD5B6C"/>
        </w:tc>
        <w:tc>
          <w:tcPr>
            <w:tcW w:w="1200" w:type="dxa"/>
            <w:shd w:val="clear" w:color="auto" w:fill="FFFFFF" w:themeFill="background1"/>
            <w:vAlign w:val="center"/>
          </w:tcPr>
          <w:p w:rsidR="00DD5B6C" w:rsidRPr="005A0452" w:rsidRDefault="00DD5B6C" w:rsidP="005A0452">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220,000</w:t>
            </w:r>
          </w:p>
        </w:tc>
        <w:tc>
          <w:tcPr>
            <w:tcW w:w="1192" w:type="dxa"/>
            <w:shd w:val="clear" w:color="auto" w:fill="FFFFFF" w:themeFill="background1"/>
            <w:vAlign w:val="center"/>
          </w:tcPr>
          <w:p w:rsidR="00DD5B6C" w:rsidRPr="005A0452" w:rsidRDefault="00DD5B6C" w:rsidP="005A0452">
            <w:pPr>
              <w:jc w:val="right"/>
              <w:rPr>
                <w:rFonts w:ascii="Calibri" w:eastAsia="Times New Roman" w:hAnsi="Calibri" w:cs="Calibri"/>
                <w:bCs/>
                <w:color w:val="000000"/>
                <w:sz w:val="20"/>
                <w:szCs w:val="20"/>
              </w:rPr>
            </w:pPr>
          </w:p>
        </w:tc>
        <w:tc>
          <w:tcPr>
            <w:tcW w:w="1192" w:type="dxa"/>
            <w:shd w:val="clear" w:color="auto" w:fill="FFFFFF" w:themeFill="background1"/>
          </w:tcPr>
          <w:p w:rsidR="00DD5B6C" w:rsidRPr="005A0452" w:rsidRDefault="00DD5B6C" w:rsidP="005A0452">
            <w:pPr>
              <w:jc w:val="right"/>
              <w:rPr>
                <w:rFonts w:ascii="Calibri" w:eastAsia="Times New Roman" w:hAnsi="Calibri" w:cs="Calibri"/>
                <w:bCs/>
                <w:color w:val="000000"/>
                <w:sz w:val="20"/>
                <w:szCs w:val="20"/>
              </w:rPr>
            </w:pPr>
          </w:p>
        </w:tc>
      </w:tr>
      <w:tr w:rsidR="00DD5B6C" w:rsidTr="00F5515E">
        <w:tc>
          <w:tcPr>
            <w:tcW w:w="1598" w:type="dxa"/>
            <w:vMerge/>
            <w:shd w:val="clear" w:color="auto" w:fill="FFFFFF" w:themeFill="background1"/>
          </w:tcPr>
          <w:p w:rsidR="00DD5B6C" w:rsidRPr="00F66E35" w:rsidRDefault="00DD5B6C" w:rsidP="00CF3EB2"/>
        </w:tc>
        <w:tc>
          <w:tcPr>
            <w:tcW w:w="1576" w:type="dxa"/>
            <w:tcBorders>
              <w:right w:val="single" w:sz="4" w:space="0" w:color="auto"/>
            </w:tcBorders>
            <w:shd w:val="clear" w:color="auto" w:fill="FFFFFF" w:themeFill="background1"/>
          </w:tcPr>
          <w:p w:rsidR="00DD5B6C" w:rsidRPr="005A0452" w:rsidRDefault="00DD5B6C" w:rsidP="00CF3EB2">
            <w:r>
              <w:t>Same,</w:t>
            </w:r>
            <w:r w:rsidRPr="00DD5B6C">
              <w:t xml:space="preserve"> in at least a further 2 Partner Countries</w:t>
            </w:r>
          </w:p>
        </w:tc>
        <w:tc>
          <w:tcPr>
            <w:tcW w:w="1418" w:type="dxa"/>
            <w:tcBorders>
              <w:top w:val="nil"/>
              <w:left w:val="single" w:sz="4" w:space="0" w:color="auto"/>
              <w:bottom w:val="single" w:sz="4" w:space="0" w:color="auto"/>
            </w:tcBorders>
            <w:shd w:val="clear" w:color="auto" w:fill="FFFFFF" w:themeFill="background1"/>
          </w:tcPr>
          <w:p w:rsidR="00DD5B6C" w:rsidRPr="00F66E35" w:rsidRDefault="00DD5B6C" w:rsidP="00CF3EB2"/>
        </w:tc>
        <w:tc>
          <w:tcPr>
            <w:tcW w:w="2397" w:type="dxa"/>
            <w:vMerge/>
            <w:tcBorders>
              <w:bottom w:val="single" w:sz="4" w:space="0" w:color="auto"/>
            </w:tcBorders>
            <w:shd w:val="clear" w:color="auto" w:fill="FFFFFF" w:themeFill="background1"/>
          </w:tcPr>
          <w:p w:rsidR="00DD5B6C" w:rsidRPr="00F66E35" w:rsidRDefault="00DD5B6C" w:rsidP="00CF3EB2"/>
        </w:tc>
        <w:tc>
          <w:tcPr>
            <w:tcW w:w="512" w:type="dxa"/>
            <w:shd w:val="clear" w:color="auto" w:fill="FFFFFF" w:themeFill="background1"/>
          </w:tcPr>
          <w:p w:rsidR="00DD5B6C" w:rsidRPr="00715198" w:rsidRDefault="00DD5B6C"/>
        </w:tc>
        <w:tc>
          <w:tcPr>
            <w:tcW w:w="503" w:type="dxa"/>
            <w:shd w:val="clear" w:color="auto" w:fill="FFFFFF" w:themeFill="background1"/>
          </w:tcPr>
          <w:p w:rsidR="00DD5B6C" w:rsidRPr="00715198" w:rsidRDefault="00DD5B6C"/>
        </w:tc>
        <w:tc>
          <w:tcPr>
            <w:tcW w:w="503" w:type="dxa"/>
            <w:shd w:val="clear" w:color="auto" w:fill="FFFFFF" w:themeFill="background1"/>
          </w:tcPr>
          <w:p w:rsidR="00DD5B6C" w:rsidRPr="00715198" w:rsidRDefault="00DD5B6C"/>
        </w:tc>
        <w:tc>
          <w:tcPr>
            <w:tcW w:w="503" w:type="dxa"/>
            <w:shd w:val="clear" w:color="auto" w:fill="4F81BD" w:themeFill="accent1"/>
          </w:tcPr>
          <w:p w:rsidR="00DD5B6C" w:rsidRPr="00715198" w:rsidRDefault="00DD5B6C"/>
        </w:tc>
        <w:tc>
          <w:tcPr>
            <w:tcW w:w="513" w:type="dxa"/>
            <w:shd w:val="clear" w:color="auto" w:fill="4F81BD" w:themeFill="accent1"/>
          </w:tcPr>
          <w:p w:rsidR="00DD5B6C" w:rsidRPr="00715198" w:rsidRDefault="00DD5B6C"/>
        </w:tc>
        <w:tc>
          <w:tcPr>
            <w:tcW w:w="503" w:type="dxa"/>
            <w:shd w:val="clear" w:color="auto" w:fill="4F81BD" w:themeFill="accent1"/>
          </w:tcPr>
          <w:p w:rsidR="00DD5B6C" w:rsidRPr="00715198" w:rsidRDefault="00DD5B6C"/>
        </w:tc>
        <w:tc>
          <w:tcPr>
            <w:tcW w:w="503" w:type="dxa"/>
            <w:shd w:val="clear" w:color="auto" w:fill="4F81BD" w:themeFill="accent1"/>
          </w:tcPr>
          <w:p w:rsidR="00DD5B6C" w:rsidRPr="00715198" w:rsidRDefault="00DD5B6C"/>
        </w:tc>
        <w:tc>
          <w:tcPr>
            <w:tcW w:w="503" w:type="dxa"/>
            <w:shd w:val="clear" w:color="auto" w:fill="4F81BD" w:themeFill="accent1"/>
          </w:tcPr>
          <w:p w:rsidR="00DD5B6C" w:rsidRPr="00715198" w:rsidRDefault="00DD5B6C"/>
        </w:tc>
        <w:tc>
          <w:tcPr>
            <w:tcW w:w="1200" w:type="dxa"/>
            <w:shd w:val="clear" w:color="auto" w:fill="FFFFFF" w:themeFill="background1"/>
            <w:vAlign w:val="center"/>
          </w:tcPr>
          <w:p w:rsidR="00DD5B6C" w:rsidRPr="005A0452" w:rsidRDefault="00DD5B6C" w:rsidP="005A0452">
            <w:pPr>
              <w:jc w:val="right"/>
              <w:rPr>
                <w:rFonts w:ascii="Calibri" w:eastAsia="Times New Roman" w:hAnsi="Calibri" w:cs="Calibri"/>
                <w:bCs/>
                <w:color w:val="000000"/>
                <w:sz w:val="20"/>
                <w:szCs w:val="20"/>
              </w:rPr>
            </w:pPr>
          </w:p>
        </w:tc>
        <w:tc>
          <w:tcPr>
            <w:tcW w:w="1192" w:type="dxa"/>
            <w:shd w:val="clear" w:color="auto" w:fill="FFFFFF" w:themeFill="background1"/>
            <w:vAlign w:val="center"/>
          </w:tcPr>
          <w:p w:rsidR="00DD5B6C" w:rsidRPr="005A0452" w:rsidRDefault="00DD5B6C" w:rsidP="005A0452">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110,000</w:t>
            </w:r>
          </w:p>
        </w:tc>
        <w:tc>
          <w:tcPr>
            <w:tcW w:w="1192" w:type="dxa"/>
            <w:shd w:val="clear" w:color="auto" w:fill="FFFFFF" w:themeFill="background1"/>
          </w:tcPr>
          <w:p w:rsidR="00DD5B6C" w:rsidRPr="005A0452" w:rsidRDefault="00DD5B6C" w:rsidP="005A0452">
            <w:pPr>
              <w:jc w:val="right"/>
              <w:rPr>
                <w:rFonts w:ascii="Calibri" w:eastAsia="Times New Roman" w:hAnsi="Calibri" w:cs="Calibri"/>
                <w:bCs/>
                <w:color w:val="000000"/>
                <w:sz w:val="20"/>
                <w:szCs w:val="20"/>
              </w:rPr>
            </w:pPr>
          </w:p>
        </w:tc>
      </w:tr>
      <w:tr w:rsidR="00DD5B6C" w:rsidTr="00497C8A">
        <w:tc>
          <w:tcPr>
            <w:tcW w:w="1598" w:type="dxa"/>
            <w:tcBorders>
              <w:bottom w:val="single" w:sz="4" w:space="0" w:color="auto"/>
            </w:tcBorders>
            <w:shd w:val="clear" w:color="auto" w:fill="D9D9D9" w:themeFill="background1" w:themeFillShade="D9"/>
          </w:tcPr>
          <w:p w:rsidR="00DD5B6C" w:rsidRPr="005A0452" w:rsidRDefault="00DD5B6C" w:rsidP="00CF3EB2">
            <w:pPr>
              <w:rPr>
                <w:b/>
              </w:rPr>
            </w:pPr>
            <w:r w:rsidRPr="005A0452">
              <w:rPr>
                <w:b/>
              </w:rPr>
              <w:t>Sub-total</w:t>
            </w:r>
            <w:r>
              <w:rPr>
                <w:b/>
              </w:rPr>
              <w:t>, Result 2</w:t>
            </w:r>
          </w:p>
        </w:tc>
        <w:tc>
          <w:tcPr>
            <w:tcW w:w="1576" w:type="dxa"/>
            <w:shd w:val="clear" w:color="auto" w:fill="D9D9D9" w:themeFill="background1" w:themeFillShade="D9"/>
          </w:tcPr>
          <w:p w:rsidR="00DD5B6C" w:rsidRPr="005A0452" w:rsidRDefault="00DD5B6C" w:rsidP="00CF3EB2">
            <w:pPr>
              <w:rPr>
                <w:b/>
              </w:rPr>
            </w:pPr>
          </w:p>
        </w:tc>
        <w:tc>
          <w:tcPr>
            <w:tcW w:w="1418" w:type="dxa"/>
            <w:tcBorders>
              <w:top w:val="single" w:sz="4" w:space="0" w:color="auto"/>
            </w:tcBorders>
            <w:shd w:val="clear" w:color="auto" w:fill="D9D9D9" w:themeFill="background1" w:themeFillShade="D9"/>
          </w:tcPr>
          <w:p w:rsidR="00DD5B6C" w:rsidRPr="005A0452" w:rsidRDefault="00DD5B6C" w:rsidP="00CF3EB2">
            <w:pPr>
              <w:rPr>
                <w:b/>
              </w:rPr>
            </w:pPr>
          </w:p>
        </w:tc>
        <w:tc>
          <w:tcPr>
            <w:tcW w:w="2397" w:type="dxa"/>
            <w:tcBorders>
              <w:top w:val="single" w:sz="4" w:space="0" w:color="auto"/>
            </w:tcBorders>
            <w:shd w:val="clear" w:color="auto" w:fill="D9D9D9" w:themeFill="background1" w:themeFillShade="D9"/>
          </w:tcPr>
          <w:p w:rsidR="00DD5B6C" w:rsidRPr="005A0452" w:rsidRDefault="00DD5B6C" w:rsidP="00CF3EB2">
            <w:pPr>
              <w:rPr>
                <w:b/>
              </w:rPr>
            </w:pPr>
          </w:p>
        </w:tc>
        <w:tc>
          <w:tcPr>
            <w:tcW w:w="512" w:type="dxa"/>
            <w:shd w:val="clear" w:color="auto" w:fill="D9D9D9" w:themeFill="background1" w:themeFillShade="D9"/>
          </w:tcPr>
          <w:p w:rsidR="00DD5B6C" w:rsidRPr="005A0452" w:rsidRDefault="00DD5B6C" w:rsidP="00CF3EB2">
            <w:pPr>
              <w:rPr>
                <w:b/>
              </w:rPr>
            </w:pPr>
          </w:p>
        </w:tc>
        <w:tc>
          <w:tcPr>
            <w:tcW w:w="503" w:type="dxa"/>
            <w:shd w:val="clear" w:color="auto" w:fill="D9D9D9" w:themeFill="background1" w:themeFillShade="D9"/>
          </w:tcPr>
          <w:p w:rsidR="00DD5B6C" w:rsidRPr="005A0452" w:rsidRDefault="00DD5B6C" w:rsidP="00CF3EB2">
            <w:pPr>
              <w:rPr>
                <w:b/>
              </w:rPr>
            </w:pPr>
          </w:p>
        </w:tc>
        <w:tc>
          <w:tcPr>
            <w:tcW w:w="503" w:type="dxa"/>
            <w:shd w:val="clear" w:color="auto" w:fill="D9D9D9" w:themeFill="background1" w:themeFillShade="D9"/>
          </w:tcPr>
          <w:p w:rsidR="00DD5B6C" w:rsidRPr="005A0452" w:rsidRDefault="00DD5B6C" w:rsidP="00CF3EB2">
            <w:pPr>
              <w:rPr>
                <w:b/>
              </w:rPr>
            </w:pPr>
          </w:p>
        </w:tc>
        <w:tc>
          <w:tcPr>
            <w:tcW w:w="503" w:type="dxa"/>
            <w:shd w:val="clear" w:color="auto" w:fill="D9D9D9" w:themeFill="background1" w:themeFillShade="D9"/>
          </w:tcPr>
          <w:p w:rsidR="00DD5B6C" w:rsidRPr="005A0452" w:rsidRDefault="00DD5B6C" w:rsidP="00CF3EB2">
            <w:pPr>
              <w:rPr>
                <w:b/>
              </w:rPr>
            </w:pPr>
          </w:p>
        </w:tc>
        <w:tc>
          <w:tcPr>
            <w:tcW w:w="513" w:type="dxa"/>
            <w:shd w:val="clear" w:color="auto" w:fill="D9D9D9" w:themeFill="background1" w:themeFillShade="D9"/>
          </w:tcPr>
          <w:p w:rsidR="00DD5B6C" w:rsidRPr="005A0452" w:rsidRDefault="00DD5B6C" w:rsidP="00CF3EB2">
            <w:pPr>
              <w:rPr>
                <w:b/>
              </w:rPr>
            </w:pPr>
          </w:p>
        </w:tc>
        <w:tc>
          <w:tcPr>
            <w:tcW w:w="503" w:type="dxa"/>
            <w:shd w:val="clear" w:color="auto" w:fill="D9D9D9" w:themeFill="background1" w:themeFillShade="D9"/>
          </w:tcPr>
          <w:p w:rsidR="00DD5B6C" w:rsidRPr="005A0452" w:rsidRDefault="00DD5B6C" w:rsidP="00CF3EB2">
            <w:pPr>
              <w:rPr>
                <w:b/>
              </w:rPr>
            </w:pPr>
          </w:p>
        </w:tc>
        <w:tc>
          <w:tcPr>
            <w:tcW w:w="503" w:type="dxa"/>
            <w:shd w:val="clear" w:color="auto" w:fill="D9D9D9" w:themeFill="background1" w:themeFillShade="D9"/>
          </w:tcPr>
          <w:p w:rsidR="00DD5B6C" w:rsidRPr="005A0452" w:rsidRDefault="00DD5B6C" w:rsidP="00CF3EB2">
            <w:pPr>
              <w:rPr>
                <w:b/>
              </w:rPr>
            </w:pPr>
          </w:p>
        </w:tc>
        <w:tc>
          <w:tcPr>
            <w:tcW w:w="503" w:type="dxa"/>
            <w:shd w:val="clear" w:color="auto" w:fill="D9D9D9" w:themeFill="background1" w:themeFillShade="D9"/>
          </w:tcPr>
          <w:p w:rsidR="00DD5B6C" w:rsidRPr="005A0452" w:rsidRDefault="00DD5B6C" w:rsidP="00CF3EB2">
            <w:pPr>
              <w:rPr>
                <w:b/>
              </w:rPr>
            </w:pPr>
          </w:p>
        </w:tc>
        <w:tc>
          <w:tcPr>
            <w:tcW w:w="1200" w:type="dxa"/>
            <w:shd w:val="clear" w:color="auto" w:fill="D9D9D9" w:themeFill="background1" w:themeFillShade="D9"/>
            <w:vAlign w:val="center"/>
          </w:tcPr>
          <w:p w:rsidR="00DD5B6C" w:rsidRPr="00556F48" w:rsidRDefault="00DD5B6C" w:rsidP="005A0452">
            <w:pPr>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475,000</w:t>
            </w:r>
          </w:p>
        </w:tc>
        <w:tc>
          <w:tcPr>
            <w:tcW w:w="1192" w:type="dxa"/>
            <w:shd w:val="clear" w:color="auto" w:fill="D9D9D9" w:themeFill="background1" w:themeFillShade="D9"/>
            <w:vAlign w:val="center"/>
          </w:tcPr>
          <w:p w:rsidR="00DD5B6C" w:rsidRPr="00556F48" w:rsidRDefault="00DD5B6C" w:rsidP="005A0452">
            <w:pPr>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240,000</w:t>
            </w:r>
          </w:p>
        </w:tc>
        <w:tc>
          <w:tcPr>
            <w:tcW w:w="1192" w:type="dxa"/>
            <w:shd w:val="clear" w:color="auto" w:fill="D9D9D9" w:themeFill="background1" w:themeFillShade="D9"/>
            <w:vAlign w:val="center"/>
          </w:tcPr>
          <w:p w:rsidR="00F5515E" w:rsidRPr="00556F48" w:rsidRDefault="00F5515E" w:rsidP="00497C8A">
            <w:pPr>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715,000</w:t>
            </w:r>
          </w:p>
        </w:tc>
      </w:tr>
      <w:tr w:rsidR="00DD5B6C" w:rsidTr="00497C8A">
        <w:trPr>
          <w:cantSplit/>
        </w:trPr>
        <w:tc>
          <w:tcPr>
            <w:tcW w:w="15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D5B6C" w:rsidRPr="00715198" w:rsidRDefault="00DD5B6C" w:rsidP="001A291E">
            <w:r>
              <w:t>Expected Result 3</w:t>
            </w:r>
            <w:r>
              <w:rPr>
                <w:rStyle w:val="FootnoteReference"/>
                <w:rFonts w:ascii="Verdana" w:hAnsi="Verdana"/>
                <w:sz w:val="18"/>
                <w:szCs w:val="18"/>
                <w:lang w:val="en-US" w:eastAsia="en-US"/>
              </w:rPr>
              <w:footnoteReference w:id="8"/>
            </w:r>
            <w:r>
              <w:t xml:space="preserve">: </w:t>
            </w:r>
            <w:r w:rsidRPr="00DD5B6C">
              <w:t xml:space="preserve">Supported countries' capacity to ensure full and effective participation is improved and  knowledge based on practical experience of best practice </w:t>
            </w:r>
            <w:r w:rsidRPr="00DD5B6C">
              <w:lastRenderedPageBreak/>
              <w:t>on engaging IPs and CSOs in supported countries is shared effectively</w:t>
            </w:r>
          </w:p>
        </w:tc>
        <w:tc>
          <w:tcPr>
            <w:tcW w:w="1576" w:type="dxa"/>
            <w:tcBorders>
              <w:left w:val="single" w:sz="4" w:space="0" w:color="auto"/>
            </w:tcBorders>
            <w:shd w:val="clear" w:color="auto" w:fill="FFFFFF" w:themeFill="background1"/>
          </w:tcPr>
          <w:p w:rsidR="00DD5B6C" w:rsidRPr="00715198" w:rsidRDefault="00DD5B6C" w:rsidP="00CF3EB2">
            <w:r w:rsidRPr="00DD5B6C">
              <w:lastRenderedPageBreak/>
              <w:t>Analyses of best practice in engagement of IPs and CSOs developed and shared with at least 10 Partner Countries</w:t>
            </w:r>
          </w:p>
        </w:tc>
        <w:tc>
          <w:tcPr>
            <w:tcW w:w="1418" w:type="dxa"/>
            <w:tcBorders>
              <w:bottom w:val="nil"/>
            </w:tcBorders>
            <w:shd w:val="clear" w:color="auto" w:fill="FFFFFF" w:themeFill="background1"/>
          </w:tcPr>
          <w:p w:rsidR="00DD5B6C" w:rsidRPr="00715198" w:rsidRDefault="00DD5B6C" w:rsidP="00CF3EB2">
            <w:r>
              <w:t>UNDP</w:t>
            </w:r>
          </w:p>
        </w:tc>
        <w:tc>
          <w:tcPr>
            <w:tcW w:w="2397" w:type="dxa"/>
            <w:vMerge w:val="restart"/>
            <w:shd w:val="clear" w:color="auto" w:fill="FFFFFF" w:themeFill="background1"/>
          </w:tcPr>
          <w:p w:rsidR="00DD5B6C" w:rsidRPr="00715198" w:rsidRDefault="00DD5B6C" w:rsidP="00CF3EB2">
            <w:r w:rsidRPr="00DD5B6C">
              <w:t>National/regional workshops to review national stakeholder engagement experience; South-South exchange visits; National/regional capacity building workshops with key stakeholders; Development of translated awareness raising materials into local la</w:t>
            </w:r>
            <w:r w:rsidR="00C54C70">
              <w:t xml:space="preserve">nguages; </w:t>
            </w:r>
            <w:r w:rsidR="00C54C70">
              <w:lastRenderedPageBreak/>
              <w:t>Development of</w:t>
            </w:r>
            <w:r w:rsidRPr="00DD5B6C">
              <w:t xml:space="preserve"> lessons learned reports</w:t>
            </w:r>
          </w:p>
        </w:tc>
        <w:tc>
          <w:tcPr>
            <w:tcW w:w="512" w:type="dxa"/>
            <w:shd w:val="clear" w:color="auto" w:fill="FFFFFF" w:themeFill="background1"/>
          </w:tcPr>
          <w:p w:rsidR="00DD5B6C" w:rsidRPr="00715198" w:rsidRDefault="00DD5B6C" w:rsidP="00CF3EB2"/>
        </w:tc>
        <w:tc>
          <w:tcPr>
            <w:tcW w:w="503" w:type="dxa"/>
            <w:shd w:val="clear" w:color="auto" w:fill="FFFFFF" w:themeFill="background1"/>
          </w:tcPr>
          <w:p w:rsidR="00DD5B6C" w:rsidRPr="00715198" w:rsidRDefault="00DD5B6C" w:rsidP="00CF3EB2"/>
        </w:tc>
        <w:tc>
          <w:tcPr>
            <w:tcW w:w="503" w:type="dxa"/>
            <w:shd w:val="clear" w:color="auto" w:fill="4F81BD" w:themeFill="accent1"/>
          </w:tcPr>
          <w:p w:rsidR="00DD5B6C" w:rsidRPr="00715198" w:rsidRDefault="00DD5B6C" w:rsidP="00CF3EB2"/>
        </w:tc>
        <w:tc>
          <w:tcPr>
            <w:tcW w:w="503" w:type="dxa"/>
            <w:shd w:val="clear" w:color="auto" w:fill="4F81BD" w:themeFill="accent1"/>
          </w:tcPr>
          <w:p w:rsidR="00DD5B6C" w:rsidRPr="00715198" w:rsidRDefault="00DD5B6C" w:rsidP="00CF3EB2"/>
        </w:tc>
        <w:tc>
          <w:tcPr>
            <w:tcW w:w="513" w:type="dxa"/>
            <w:shd w:val="clear" w:color="auto" w:fill="4F81BD" w:themeFill="accent1"/>
          </w:tcPr>
          <w:p w:rsidR="00DD5B6C" w:rsidRPr="00715198" w:rsidRDefault="00DD5B6C" w:rsidP="00CF3EB2"/>
        </w:tc>
        <w:tc>
          <w:tcPr>
            <w:tcW w:w="503" w:type="dxa"/>
            <w:shd w:val="clear" w:color="auto" w:fill="FFFFFF" w:themeFill="background1"/>
          </w:tcPr>
          <w:p w:rsidR="00DD5B6C" w:rsidRPr="00715198" w:rsidRDefault="00DD5B6C" w:rsidP="00CF3EB2"/>
        </w:tc>
        <w:tc>
          <w:tcPr>
            <w:tcW w:w="503" w:type="dxa"/>
            <w:shd w:val="clear" w:color="auto" w:fill="FFFFFF" w:themeFill="background1"/>
          </w:tcPr>
          <w:p w:rsidR="00DD5B6C" w:rsidRPr="00715198" w:rsidRDefault="00DD5B6C" w:rsidP="00CF3EB2"/>
        </w:tc>
        <w:tc>
          <w:tcPr>
            <w:tcW w:w="503" w:type="dxa"/>
            <w:shd w:val="clear" w:color="auto" w:fill="FFFFFF" w:themeFill="background1"/>
          </w:tcPr>
          <w:p w:rsidR="00DD5B6C" w:rsidRPr="00715198" w:rsidRDefault="00DD5B6C" w:rsidP="00CF3EB2"/>
        </w:tc>
        <w:tc>
          <w:tcPr>
            <w:tcW w:w="1200" w:type="dxa"/>
            <w:shd w:val="clear" w:color="auto" w:fill="FFFFFF" w:themeFill="background1"/>
            <w:vAlign w:val="center"/>
          </w:tcPr>
          <w:p w:rsidR="00DD5B6C" w:rsidRPr="005A0452" w:rsidRDefault="00DD5B6C" w:rsidP="005A0452">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240,000</w:t>
            </w:r>
          </w:p>
        </w:tc>
        <w:tc>
          <w:tcPr>
            <w:tcW w:w="1192" w:type="dxa"/>
            <w:shd w:val="clear" w:color="auto" w:fill="FFFFFF" w:themeFill="background1"/>
            <w:vAlign w:val="center"/>
          </w:tcPr>
          <w:p w:rsidR="00DD5B6C" w:rsidRPr="005A0452" w:rsidRDefault="00DD5B6C" w:rsidP="005A0452">
            <w:pPr>
              <w:jc w:val="right"/>
              <w:rPr>
                <w:rFonts w:ascii="Calibri" w:eastAsia="Times New Roman" w:hAnsi="Calibri" w:cs="Calibri"/>
                <w:bCs/>
                <w:color w:val="000000"/>
                <w:sz w:val="20"/>
                <w:szCs w:val="20"/>
              </w:rPr>
            </w:pPr>
          </w:p>
        </w:tc>
        <w:tc>
          <w:tcPr>
            <w:tcW w:w="1192" w:type="dxa"/>
            <w:shd w:val="clear" w:color="auto" w:fill="FFFFFF" w:themeFill="background1"/>
            <w:vAlign w:val="center"/>
          </w:tcPr>
          <w:p w:rsidR="00DD5B6C" w:rsidRPr="005A0452" w:rsidRDefault="00F5515E" w:rsidP="00497C8A">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240,000</w:t>
            </w:r>
          </w:p>
        </w:tc>
      </w:tr>
      <w:tr w:rsidR="00DD5B6C" w:rsidTr="00F5515E">
        <w:tc>
          <w:tcPr>
            <w:tcW w:w="1598" w:type="dxa"/>
            <w:vMerge/>
            <w:tcBorders>
              <w:left w:val="single" w:sz="4" w:space="0" w:color="auto"/>
              <w:bottom w:val="single" w:sz="4" w:space="0" w:color="auto"/>
              <w:right w:val="single" w:sz="4" w:space="0" w:color="auto"/>
            </w:tcBorders>
            <w:shd w:val="clear" w:color="auto" w:fill="FFFFFF" w:themeFill="background1"/>
          </w:tcPr>
          <w:p w:rsidR="00DD5B6C" w:rsidRPr="005A0452" w:rsidRDefault="00DD5B6C" w:rsidP="00CF3EB2"/>
        </w:tc>
        <w:tc>
          <w:tcPr>
            <w:tcW w:w="1576" w:type="dxa"/>
            <w:tcBorders>
              <w:left w:val="single" w:sz="4" w:space="0" w:color="auto"/>
              <w:right w:val="single" w:sz="4" w:space="0" w:color="auto"/>
            </w:tcBorders>
            <w:shd w:val="clear" w:color="auto" w:fill="FFFFFF" w:themeFill="background1"/>
          </w:tcPr>
          <w:p w:rsidR="00DD5B6C" w:rsidRPr="005A0452" w:rsidRDefault="00DD5B6C" w:rsidP="00CF3EB2">
            <w:r>
              <w:t>Same,</w:t>
            </w:r>
            <w:r w:rsidRPr="00DD5B6C">
              <w:t xml:space="preserve"> with at least a further 10 Partner Countries</w:t>
            </w:r>
          </w:p>
        </w:tc>
        <w:tc>
          <w:tcPr>
            <w:tcW w:w="1418" w:type="dxa"/>
            <w:vMerge w:val="restart"/>
            <w:tcBorders>
              <w:top w:val="nil"/>
              <w:left w:val="single" w:sz="4" w:space="0" w:color="auto"/>
            </w:tcBorders>
            <w:shd w:val="clear" w:color="auto" w:fill="FFFFFF" w:themeFill="background1"/>
          </w:tcPr>
          <w:p w:rsidR="00DD5B6C" w:rsidRPr="005A0452" w:rsidRDefault="00DD5B6C" w:rsidP="00CF3EB2"/>
        </w:tc>
        <w:tc>
          <w:tcPr>
            <w:tcW w:w="2397" w:type="dxa"/>
            <w:vMerge/>
            <w:shd w:val="clear" w:color="auto" w:fill="FFFFFF" w:themeFill="background1"/>
          </w:tcPr>
          <w:p w:rsidR="00DD5B6C" w:rsidRPr="005A0452" w:rsidRDefault="00DD5B6C" w:rsidP="00CF3EB2"/>
        </w:tc>
        <w:tc>
          <w:tcPr>
            <w:tcW w:w="512" w:type="dxa"/>
            <w:shd w:val="clear" w:color="auto" w:fill="FFFFFF" w:themeFill="background1"/>
          </w:tcPr>
          <w:p w:rsidR="00DD5B6C" w:rsidRPr="00715198" w:rsidRDefault="00DD5B6C" w:rsidP="00CF3EB2"/>
        </w:tc>
        <w:tc>
          <w:tcPr>
            <w:tcW w:w="503" w:type="dxa"/>
            <w:shd w:val="clear" w:color="auto" w:fill="FFFFFF" w:themeFill="background1"/>
          </w:tcPr>
          <w:p w:rsidR="00DD5B6C" w:rsidRPr="00715198" w:rsidRDefault="00DD5B6C" w:rsidP="00CF3EB2"/>
        </w:tc>
        <w:tc>
          <w:tcPr>
            <w:tcW w:w="503" w:type="dxa"/>
            <w:shd w:val="clear" w:color="auto" w:fill="FFFFFF" w:themeFill="background1"/>
          </w:tcPr>
          <w:p w:rsidR="00DD5B6C" w:rsidRPr="00715198" w:rsidRDefault="00DD5B6C" w:rsidP="00CF3EB2"/>
        </w:tc>
        <w:tc>
          <w:tcPr>
            <w:tcW w:w="503" w:type="dxa"/>
            <w:shd w:val="clear" w:color="auto" w:fill="FFFFFF" w:themeFill="background1"/>
          </w:tcPr>
          <w:p w:rsidR="00DD5B6C" w:rsidRPr="00715198" w:rsidRDefault="00DD5B6C" w:rsidP="00CF3EB2"/>
        </w:tc>
        <w:tc>
          <w:tcPr>
            <w:tcW w:w="513" w:type="dxa"/>
            <w:shd w:val="clear" w:color="auto" w:fill="4F81BD" w:themeFill="accent1"/>
          </w:tcPr>
          <w:p w:rsidR="00DD5B6C" w:rsidRPr="00715198" w:rsidRDefault="00DD5B6C" w:rsidP="00CF3EB2"/>
        </w:tc>
        <w:tc>
          <w:tcPr>
            <w:tcW w:w="503" w:type="dxa"/>
            <w:shd w:val="clear" w:color="auto" w:fill="4F81BD" w:themeFill="accent1"/>
          </w:tcPr>
          <w:p w:rsidR="00DD5B6C" w:rsidRPr="00715198" w:rsidRDefault="00DD5B6C" w:rsidP="00CF3EB2"/>
        </w:tc>
        <w:tc>
          <w:tcPr>
            <w:tcW w:w="503" w:type="dxa"/>
            <w:shd w:val="clear" w:color="auto" w:fill="4F81BD" w:themeFill="accent1"/>
          </w:tcPr>
          <w:p w:rsidR="00DD5B6C" w:rsidRPr="00715198" w:rsidRDefault="00DD5B6C" w:rsidP="00CF3EB2"/>
        </w:tc>
        <w:tc>
          <w:tcPr>
            <w:tcW w:w="503" w:type="dxa"/>
            <w:shd w:val="clear" w:color="auto" w:fill="FFFFFF" w:themeFill="background1"/>
          </w:tcPr>
          <w:p w:rsidR="00DD5B6C" w:rsidRPr="00715198" w:rsidRDefault="00DD5B6C" w:rsidP="00CF3EB2"/>
        </w:tc>
        <w:tc>
          <w:tcPr>
            <w:tcW w:w="1200" w:type="dxa"/>
            <w:shd w:val="clear" w:color="auto" w:fill="FFFFFF" w:themeFill="background1"/>
            <w:vAlign w:val="center"/>
          </w:tcPr>
          <w:p w:rsidR="00DD5B6C" w:rsidRPr="005A0452" w:rsidRDefault="00DD5B6C" w:rsidP="005A0452">
            <w:pPr>
              <w:jc w:val="right"/>
              <w:rPr>
                <w:rFonts w:ascii="Calibri" w:eastAsia="Times New Roman" w:hAnsi="Calibri" w:cs="Calibri"/>
                <w:bCs/>
                <w:color w:val="000000"/>
                <w:sz w:val="20"/>
                <w:szCs w:val="20"/>
              </w:rPr>
            </w:pPr>
          </w:p>
        </w:tc>
        <w:tc>
          <w:tcPr>
            <w:tcW w:w="1192" w:type="dxa"/>
            <w:shd w:val="clear" w:color="auto" w:fill="FFFFFF" w:themeFill="background1"/>
            <w:vAlign w:val="center"/>
          </w:tcPr>
          <w:p w:rsidR="00DD5B6C" w:rsidRPr="005A0452" w:rsidRDefault="00DD5B6C" w:rsidP="005A0452">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240,000</w:t>
            </w:r>
          </w:p>
        </w:tc>
        <w:tc>
          <w:tcPr>
            <w:tcW w:w="1192" w:type="dxa"/>
            <w:shd w:val="clear" w:color="auto" w:fill="FFFFFF" w:themeFill="background1"/>
          </w:tcPr>
          <w:p w:rsidR="00DD5B6C" w:rsidRPr="005A0452" w:rsidRDefault="00F5515E" w:rsidP="005A0452">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240,000</w:t>
            </w:r>
          </w:p>
        </w:tc>
      </w:tr>
      <w:tr w:rsidR="00DD5B6C" w:rsidTr="00497C8A">
        <w:trPr>
          <w:cantSplit/>
        </w:trPr>
        <w:tc>
          <w:tcPr>
            <w:tcW w:w="1598" w:type="dxa"/>
            <w:vMerge/>
            <w:tcBorders>
              <w:left w:val="single" w:sz="4" w:space="0" w:color="auto"/>
              <w:bottom w:val="single" w:sz="4" w:space="0" w:color="auto"/>
              <w:right w:val="single" w:sz="4" w:space="0" w:color="auto"/>
            </w:tcBorders>
            <w:shd w:val="clear" w:color="auto" w:fill="FFFFFF" w:themeFill="background1"/>
          </w:tcPr>
          <w:p w:rsidR="00DD5B6C" w:rsidRPr="005A0452" w:rsidRDefault="00DD5B6C" w:rsidP="00CF3EB2"/>
        </w:tc>
        <w:tc>
          <w:tcPr>
            <w:tcW w:w="1576" w:type="dxa"/>
            <w:tcBorders>
              <w:left w:val="single" w:sz="4" w:space="0" w:color="auto"/>
              <w:right w:val="single" w:sz="4" w:space="0" w:color="auto"/>
            </w:tcBorders>
            <w:shd w:val="clear" w:color="auto" w:fill="FFFFFF" w:themeFill="background1"/>
          </w:tcPr>
          <w:p w:rsidR="00DD5B6C" w:rsidRPr="005A0452" w:rsidRDefault="00DD5B6C" w:rsidP="00CF3EB2">
            <w:r w:rsidRPr="00DD5B6C">
              <w:t>Increased knowledge and understanding of key REDD+ issues of IP, CSO and women stakeholders in at least 6 Partner Countries</w:t>
            </w:r>
          </w:p>
        </w:tc>
        <w:tc>
          <w:tcPr>
            <w:tcW w:w="1418" w:type="dxa"/>
            <w:vMerge/>
            <w:tcBorders>
              <w:left w:val="single" w:sz="4" w:space="0" w:color="auto"/>
              <w:bottom w:val="nil"/>
            </w:tcBorders>
            <w:shd w:val="clear" w:color="auto" w:fill="FFFFFF" w:themeFill="background1"/>
          </w:tcPr>
          <w:p w:rsidR="00DD5B6C" w:rsidRPr="005A0452" w:rsidRDefault="00DD5B6C" w:rsidP="00CF3EB2"/>
        </w:tc>
        <w:tc>
          <w:tcPr>
            <w:tcW w:w="2397" w:type="dxa"/>
            <w:vMerge/>
            <w:shd w:val="clear" w:color="auto" w:fill="FFFFFF" w:themeFill="background1"/>
          </w:tcPr>
          <w:p w:rsidR="00DD5B6C" w:rsidRPr="005A0452" w:rsidRDefault="00DD5B6C" w:rsidP="00CF3EB2"/>
        </w:tc>
        <w:tc>
          <w:tcPr>
            <w:tcW w:w="512" w:type="dxa"/>
            <w:shd w:val="clear" w:color="auto" w:fill="FFFFFF" w:themeFill="background1"/>
          </w:tcPr>
          <w:p w:rsidR="00DD5B6C" w:rsidRPr="00715198" w:rsidRDefault="00DD5B6C" w:rsidP="00CF3EB2"/>
        </w:tc>
        <w:tc>
          <w:tcPr>
            <w:tcW w:w="503" w:type="dxa"/>
            <w:shd w:val="clear" w:color="auto" w:fill="4F81BD" w:themeFill="accent1"/>
          </w:tcPr>
          <w:p w:rsidR="00DD5B6C" w:rsidRPr="00715198" w:rsidRDefault="00DD5B6C" w:rsidP="00CF3EB2"/>
        </w:tc>
        <w:tc>
          <w:tcPr>
            <w:tcW w:w="503" w:type="dxa"/>
            <w:shd w:val="clear" w:color="auto" w:fill="4F81BD" w:themeFill="accent1"/>
          </w:tcPr>
          <w:p w:rsidR="00DD5B6C" w:rsidRPr="00715198" w:rsidRDefault="00DD5B6C" w:rsidP="00CF3EB2"/>
        </w:tc>
        <w:tc>
          <w:tcPr>
            <w:tcW w:w="503" w:type="dxa"/>
            <w:shd w:val="clear" w:color="auto" w:fill="4F81BD" w:themeFill="accent1"/>
          </w:tcPr>
          <w:p w:rsidR="00DD5B6C" w:rsidRPr="00715198" w:rsidRDefault="00DD5B6C" w:rsidP="00CF3EB2"/>
        </w:tc>
        <w:tc>
          <w:tcPr>
            <w:tcW w:w="513" w:type="dxa"/>
            <w:shd w:val="clear" w:color="auto" w:fill="4F81BD" w:themeFill="accent1"/>
          </w:tcPr>
          <w:p w:rsidR="00DD5B6C" w:rsidRPr="00715198" w:rsidRDefault="00DD5B6C" w:rsidP="00CF3EB2"/>
        </w:tc>
        <w:tc>
          <w:tcPr>
            <w:tcW w:w="503" w:type="dxa"/>
            <w:shd w:val="clear" w:color="auto" w:fill="FFFFFF" w:themeFill="background1"/>
          </w:tcPr>
          <w:p w:rsidR="00DD5B6C" w:rsidRPr="00715198" w:rsidRDefault="00DD5B6C" w:rsidP="00CF3EB2"/>
        </w:tc>
        <w:tc>
          <w:tcPr>
            <w:tcW w:w="503" w:type="dxa"/>
            <w:shd w:val="clear" w:color="auto" w:fill="FFFFFF" w:themeFill="background1"/>
          </w:tcPr>
          <w:p w:rsidR="00DD5B6C" w:rsidRPr="00715198" w:rsidRDefault="00DD5B6C" w:rsidP="00CF3EB2"/>
        </w:tc>
        <w:tc>
          <w:tcPr>
            <w:tcW w:w="503" w:type="dxa"/>
            <w:shd w:val="clear" w:color="auto" w:fill="FFFFFF" w:themeFill="background1"/>
          </w:tcPr>
          <w:p w:rsidR="00DD5B6C" w:rsidRPr="00715198" w:rsidRDefault="00DD5B6C" w:rsidP="00CF3EB2"/>
        </w:tc>
        <w:tc>
          <w:tcPr>
            <w:tcW w:w="1200" w:type="dxa"/>
            <w:shd w:val="clear" w:color="auto" w:fill="FFFFFF" w:themeFill="background1"/>
            <w:vAlign w:val="center"/>
          </w:tcPr>
          <w:p w:rsidR="00DD5B6C" w:rsidRPr="005A0452" w:rsidRDefault="00DD5B6C" w:rsidP="005A0452">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230,000</w:t>
            </w:r>
            <w:r w:rsidRPr="005A0452">
              <w:rPr>
                <w:rFonts w:ascii="Calibri" w:eastAsia="Times New Roman" w:hAnsi="Calibri" w:cs="Calibri"/>
                <w:bCs/>
                <w:color w:val="000000"/>
                <w:sz w:val="20"/>
                <w:szCs w:val="20"/>
              </w:rPr>
              <w:t> </w:t>
            </w:r>
          </w:p>
        </w:tc>
        <w:tc>
          <w:tcPr>
            <w:tcW w:w="1192" w:type="dxa"/>
            <w:shd w:val="clear" w:color="auto" w:fill="FFFFFF" w:themeFill="background1"/>
            <w:vAlign w:val="center"/>
          </w:tcPr>
          <w:p w:rsidR="00DD5B6C" w:rsidRPr="005A0452" w:rsidRDefault="00DD5B6C" w:rsidP="005A0452">
            <w:pPr>
              <w:jc w:val="right"/>
              <w:rPr>
                <w:rFonts w:ascii="Calibri" w:eastAsia="Times New Roman" w:hAnsi="Calibri" w:cs="Calibri"/>
                <w:bCs/>
                <w:color w:val="000000"/>
                <w:sz w:val="20"/>
                <w:szCs w:val="20"/>
              </w:rPr>
            </w:pPr>
          </w:p>
        </w:tc>
        <w:tc>
          <w:tcPr>
            <w:tcW w:w="1192" w:type="dxa"/>
            <w:shd w:val="clear" w:color="auto" w:fill="FFFFFF" w:themeFill="background1"/>
            <w:vAlign w:val="center"/>
          </w:tcPr>
          <w:p w:rsidR="00DD5B6C" w:rsidRPr="005A0452" w:rsidRDefault="00F5515E" w:rsidP="00497C8A">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230,000</w:t>
            </w:r>
          </w:p>
        </w:tc>
      </w:tr>
      <w:tr w:rsidR="00DD5B6C" w:rsidTr="00497C8A">
        <w:tc>
          <w:tcPr>
            <w:tcW w:w="1598" w:type="dxa"/>
            <w:vMerge/>
            <w:tcBorders>
              <w:left w:val="single" w:sz="4" w:space="0" w:color="auto"/>
              <w:bottom w:val="nil"/>
              <w:right w:val="single" w:sz="4" w:space="0" w:color="auto"/>
            </w:tcBorders>
            <w:shd w:val="clear" w:color="auto" w:fill="FFFFFF" w:themeFill="background1"/>
          </w:tcPr>
          <w:p w:rsidR="00DD5B6C" w:rsidRPr="005A0452" w:rsidRDefault="00DD5B6C" w:rsidP="00CF3EB2"/>
        </w:tc>
        <w:tc>
          <w:tcPr>
            <w:tcW w:w="1576" w:type="dxa"/>
            <w:tcBorders>
              <w:left w:val="single" w:sz="4" w:space="0" w:color="auto"/>
              <w:right w:val="single" w:sz="4" w:space="0" w:color="auto"/>
            </w:tcBorders>
            <w:shd w:val="clear" w:color="auto" w:fill="FFFFFF" w:themeFill="background1"/>
          </w:tcPr>
          <w:p w:rsidR="00DD5B6C" w:rsidRPr="005A0452" w:rsidRDefault="00DD5B6C" w:rsidP="00CF3EB2">
            <w:r>
              <w:t xml:space="preserve">Same, </w:t>
            </w:r>
            <w:r w:rsidRPr="00DD5B6C">
              <w:t>in a further 6 partner countries</w:t>
            </w:r>
          </w:p>
        </w:tc>
        <w:tc>
          <w:tcPr>
            <w:tcW w:w="1418" w:type="dxa"/>
            <w:vMerge w:val="restart"/>
            <w:tcBorders>
              <w:top w:val="nil"/>
              <w:left w:val="single" w:sz="4" w:space="0" w:color="auto"/>
            </w:tcBorders>
            <w:shd w:val="clear" w:color="auto" w:fill="FFFFFF" w:themeFill="background1"/>
          </w:tcPr>
          <w:p w:rsidR="00DD5B6C" w:rsidRPr="005A0452" w:rsidRDefault="00DD5B6C" w:rsidP="00CF3EB2"/>
        </w:tc>
        <w:tc>
          <w:tcPr>
            <w:tcW w:w="2397" w:type="dxa"/>
            <w:vMerge/>
            <w:shd w:val="clear" w:color="auto" w:fill="FFFFFF" w:themeFill="background1"/>
          </w:tcPr>
          <w:p w:rsidR="00DD5B6C" w:rsidRPr="005A0452" w:rsidRDefault="00DD5B6C" w:rsidP="00CF3EB2"/>
        </w:tc>
        <w:tc>
          <w:tcPr>
            <w:tcW w:w="512" w:type="dxa"/>
            <w:shd w:val="clear" w:color="auto" w:fill="FFFFFF" w:themeFill="background1"/>
          </w:tcPr>
          <w:p w:rsidR="00DD5B6C" w:rsidRPr="00715198" w:rsidRDefault="00DD5B6C" w:rsidP="00CF3EB2"/>
        </w:tc>
        <w:tc>
          <w:tcPr>
            <w:tcW w:w="503" w:type="dxa"/>
            <w:shd w:val="clear" w:color="auto" w:fill="FFFFFF" w:themeFill="background1"/>
          </w:tcPr>
          <w:p w:rsidR="00DD5B6C" w:rsidRPr="00715198" w:rsidRDefault="00DD5B6C" w:rsidP="00CF3EB2"/>
        </w:tc>
        <w:tc>
          <w:tcPr>
            <w:tcW w:w="503" w:type="dxa"/>
            <w:shd w:val="clear" w:color="auto" w:fill="FFFFFF" w:themeFill="background1"/>
          </w:tcPr>
          <w:p w:rsidR="00DD5B6C" w:rsidRPr="00715198" w:rsidRDefault="00DD5B6C" w:rsidP="00CF3EB2"/>
        </w:tc>
        <w:tc>
          <w:tcPr>
            <w:tcW w:w="503" w:type="dxa"/>
            <w:shd w:val="clear" w:color="auto" w:fill="FFFFFF" w:themeFill="background1"/>
          </w:tcPr>
          <w:p w:rsidR="00DD5B6C" w:rsidRPr="00715198" w:rsidRDefault="00DD5B6C" w:rsidP="00CF3EB2"/>
        </w:tc>
        <w:tc>
          <w:tcPr>
            <w:tcW w:w="513" w:type="dxa"/>
            <w:shd w:val="clear" w:color="auto" w:fill="4F81BD" w:themeFill="accent1"/>
          </w:tcPr>
          <w:p w:rsidR="00DD5B6C" w:rsidRPr="00715198" w:rsidRDefault="00DD5B6C" w:rsidP="00CF3EB2"/>
        </w:tc>
        <w:tc>
          <w:tcPr>
            <w:tcW w:w="503" w:type="dxa"/>
            <w:shd w:val="clear" w:color="auto" w:fill="4F81BD" w:themeFill="accent1"/>
          </w:tcPr>
          <w:p w:rsidR="00DD5B6C" w:rsidRPr="00715198" w:rsidRDefault="00DD5B6C" w:rsidP="00CF3EB2"/>
        </w:tc>
        <w:tc>
          <w:tcPr>
            <w:tcW w:w="503" w:type="dxa"/>
            <w:shd w:val="clear" w:color="auto" w:fill="4F81BD" w:themeFill="accent1"/>
          </w:tcPr>
          <w:p w:rsidR="00DD5B6C" w:rsidRPr="00715198" w:rsidRDefault="00DD5B6C" w:rsidP="00CF3EB2"/>
        </w:tc>
        <w:tc>
          <w:tcPr>
            <w:tcW w:w="503" w:type="dxa"/>
            <w:shd w:val="clear" w:color="auto" w:fill="4F81BD" w:themeFill="accent1"/>
          </w:tcPr>
          <w:p w:rsidR="00DD5B6C" w:rsidRPr="00715198" w:rsidRDefault="00DD5B6C" w:rsidP="00CF3EB2"/>
        </w:tc>
        <w:tc>
          <w:tcPr>
            <w:tcW w:w="1200" w:type="dxa"/>
            <w:shd w:val="clear" w:color="auto" w:fill="FFFFFF" w:themeFill="background1"/>
            <w:vAlign w:val="center"/>
          </w:tcPr>
          <w:p w:rsidR="00DD5B6C" w:rsidRPr="005A0452" w:rsidRDefault="00DD5B6C" w:rsidP="005A0452">
            <w:pPr>
              <w:jc w:val="right"/>
              <w:rPr>
                <w:rFonts w:ascii="Calibri" w:eastAsia="Times New Roman" w:hAnsi="Calibri" w:cs="Calibri"/>
                <w:bCs/>
                <w:color w:val="000000"/>
                <w:sz w:val="20"/>
                <w:szCs w:val="20"/>
              </w:rPr>
            </w:pPr>
            <w:r w:rsidRPr="005A0452">
              <w:rPr>
                <w:rFonts w:ascii="Calibri" w:eastAsia="Times New Roman" w:hAnsi="Calibri" w:cs="Calibri"/>
                <w:bCs/>
                <w:color w:val="000000"/>
                <w:sz w:val="20"/>
                <w:szCs w:val="20"/>
              </w:rPr>
              <w:t> </w:t>
            </w:r>
          </w:p>
        </w:tc>
        <w:tc>
          <w:tcPr>
            <w:tcW w:w="1192" w:type="dxa"/>
            <w:shd w:val="clear" w:color="auto" w:fill="FFFFFF" w:themeFill="background1"/>
            <w:vAlign w:val="center"/>
          </w:tcPr>
          <w:p w:rsidR="00DD5B6C" w:rsidRPr="005A0452" w:rsidRDefault="00C54C70" w:rsidP="005A0452">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230,000</w:t>
            </w:r>
          </w:p>
        </w:tc>
        <w:tc>
          <w:tcPr>
            <w:tcW w:w="1192" w:type="dxa"/>
            <w:shd w:val="clear" w:color="auto" w:fill="FFFFFF" w:themeFill="background1"/>
            <w:vAlign w:val="center"/>
          </w:tcPr>
          <w:p w:rsidR="00DD5B6C" w:rsidRPr="005A0452" w:rsidRDefault="00F5515E" w:rsidP="00497C8A">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230,000</w:t>
            </w:r>
          </w:p>
        </w:tc>
      </w:tr>
      <w:tr w:rsidR="00DD5B6C" w:rsidTr="00497C8A">
        <w:tc>
          <w:tcPr>
            <w:tcW w:w="1598" w:type="dxa"/>
            <w:tcBorders>
              <w:top w:val="nil"/>
              <w:left w:val="single" w:sz="4" w:space="0" w:color="auto"/>
              <w:bottom w:val="single" w:sz="4" w:space="0" w:color="auto"/>
              <w:right w:val="single" w:sz="4" w:space="0" w:color="auto"/>
            </w:tcBorders>
            <w:shd w:val="clear" w:color="auto" w:fill="FFFFFF" w:themeFill="background1"/>
          </w:tcPr>
          <w:p w:rsidR="00DD5B6C" w:rsidRPr="005A0452" w:rsidRDefault="00DD5B6C" w:rsidP="00CF3EB2"/>
        </w:tc>
        <w:tc>
          <w:tcPr>
            <w:tcW w:w="1576" w:type="dxa"/>
            <w:tcBorders>
              <w:left w:val="single" w:sz="4" w:space="0" w:color="auto"/>
              <w:right w:val="single" w:sz="4" w:space="0" w:color="auto"/>
            </w:tcBorders>
            <w:shd w:val="clear" w:color="auto" w:fill="FFFFFF" w:themeFill="background1"/>
          </w:tcPr>
          <w:p w:rsidR="00DD5B6C" w:rsidRDefault="00DD5B6C" w:rsidP="00CF3EB2">
            <w:r w:rsidRPr="00DD5B6C">
              <w:t>Learning and best practice from key stakeholder engagement activities in this proposal recorded and disseminated to Partner Countries, donors, and other key stakeholders</w:t>
            </w:r>
          </w:p>
        </w:tc>
        <w:tc>
          <w:tcPr>
            <w:tcW w:w="1418" w:type="dxa"/>
            <w:vMerge/>
            <w:tcBorders>
              <w:left w:val="single" w:sz="4" w:space="0" w:color="auto"/>
              <w:bottom w:val="single" w:sz="4" w:space="0" w:color="auto"/>
            </w:tcBorders>
            <w:shd w:val="clear" w:color="auto" w:fill="FFFFFF" w:themeFill="background1"/>
          </w:tcPr>
          <w:p w:rsidR="00DD5B6C" w:rsidRPr="005A0452" w:rsidRDefault="00DD5B6C" w:rsidP="00CF3EB2"/>
        </w:tc>
        <w:tc>
          <w:tcPr>
            <w:tcW w:w="2397" w:type="dxa"/>
            <w:vMerge/>
            <w:tcBorders>
              <w:bottom w:val="single" w:sz="4" w:space="0" w:color="auto"/>
            </w:tcBorders>
            <w:shd w:val="clear" w:color="auto" w:fill="FFFFFF" w:themeFill="background1"/>
          </w:tcPr>
          <w:p w:rsidR="00DD5B6C" w:rsidRPr="005A0452" w:rsidRDefault="00DD5B6C" w:rsidP="00CF3EB2"/>
        </w:tc>
        <w:tc>
          <w:tcPr>
            <w:tcW w:w="512" w:type="dxa"/>
            <w:shd w:val="clear" w:color="auto" w:fill="FFFFFF" w:themeFill="background1"/>
          </w:tcPr>
          <w:p w:rsidR="00DD5B6C" w:rsidRPr="00715198" w:rsidRDefault="00DD5B6C" w:rsidP="00CF3EB2"/>
        </w:tc>
        <w:tc>
          <w:tcPr>
            <w:tcW w:w="503" w:type="dxa"/>
            <w:shd w:val="clear" w:color="auto" w:fill="FFFFFF" w:themeFill="background1"/>
          </w:tcPr>
          <w:p w:rsidR="00DD5B6C" w:rsidRPr="00715198" w:rsidRDefault="00DD5B6C" w:rsidP="00CF3EB2"/>
        </w:tc>
        <w:tc>
          <w:tcPr>
            <w:tcW w:w="503" w:type="dxa"/>
            <w:shd w:val="clear" w:color="auto" w:fill="4F81BD" w:themeFill="accent1"/>
          </w:tcPr>
          <w:p w:rsidR="00DD5B6C" w:rsidRPr="00715198" w:rsidRDefault="00DD5B6C" w:rsidP="00CF3EB2"/>
        </w:tc>
        <w:tc>
          <w:tcPr>
            <w:tcW w:w="503" w:type="dxa"/>
            <w:shd w:val="clear" w:color="auto" w:fill="4F81BD" w:themeFill="accent1"/>
          </w:tcPr>
          <w:p w:rsidR="00DD5B6C" w:rsidRPr="00715198" w:rsidRDefault="00DD5B6C" w:rsidP="00CF3EB2"/>
        </w:tc>
        <w:tc>
          <w:tcPr>
            <w:tcW w:w="513" w:type="dxa"/>
            <w:shd w:val="clear" w:color="auto" w:fill="4F81BD" w:themeFill="accent1"/>
          </w:tcPr>
          <w:p w:rsidR="00DD5B6C" w:rsidRPr="00715198" w:rsidRDefault="00DD5B6C" w:rsidP="00CF3EB2"/>
        </w:tc>
        <w:tc>
          <w:tcPr>
            <w:tcW w:w="503" w:type="dxa"/>
            <w:shd w:val="clear" w:color="auto" w:fill="4F81BD" w:themeFill="accent1"/>
          </w:tcPr>
          <w:p w:rsidR="00DD5B6C" w:rsidRPr="00715198" w:rsidRDefault="00DD5B6C" w:rsidP="00CF3EB2"/>
        </w:tc>
        <w:tc>
          <w:tcPr>
            <w:tcW w:w="503" w:type="dxa"/>
            <w:shd w:val="clear" w:color="auto" w:fill="4F81BD" w:themeFill="accent1"/>
          </w:tcPr>
          <w:p w:rsidR="00DD5B6C" w:rsidRPr="00715198" w:rsidRDefault="00DD5B6C" w:rsidP="00CF3EB2"/>
        </w:tc>
        <w:tc>
          <w:tcPr>
            <w:tcW w:w="503" w:type="dxa"/>
            <w:shd w:val="clear" w:color="auto" w:fill="4F81BD" w:themeFill="accent1"/>
          </w:tcPr>
          <w:p w:rsidR="00DD5B6C" w:rsidRPr="00715198" w:rsidRDefault="00DD5B6C" w:rsidP="00CF3EB2"/>
        </w:tc>
        <w:tc>
          <w:tcPr>
            <w:tcW w:w="1200" w:type="dxa"/>
            <w:shd w:val="clear" w:color="auto" w:fill="FFFFFF" w:themeFill="background1"/>
            <w:vAlign w:val="center"/>
          </w:tcPr>
          <w:p w:rsidR="00DD5B6C" w:rsidRPr="005A0452" w:rsidRDefault="00C54C70" w:rsidP="005A0452">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150,000</w:t>
            </w:r>
          </w:p>
        </w:tc>
        <w:tc>
          <w:tcPr>
            <w:tcW w:w="1192" w:type="dxa"/>
            <w:shd w:val="clear" w:color="auto" w:fill="FFFFFF" w:themeFill="background1"/>
            <w:vAlign w:val="center"/>
          </w:tcPr>
          <w:p w:rsidR="00DD5B6C" w:rsidRPr="005A0452" w:rsidRDefault="00C54C70" w:rsidP="005A0452">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150,000</w:t>
            </w:r>
          </w:p>
        </w:tc>
        <w:tc>
          <w:tcPr>
            <w:tcW w:w="1192" w:type="dxa"/>
            <w:shd w:val="clear" w:color="auto" w:fill="FFFFFF" w:themeFill="background1"/>
            <w:vAlign w:val="center"/>
          </w:tcPr>
          <w:p w:rsidR="00DD5B6C" w:rsidRPr="005A0452" w:rsidRDefault="00F5515E" w:rsidP="00497C8A">
            <w:pPr>
              <w:jc w:val="right"/>
              <w:rPr>
                <w:rFonts w:ascii="Calibri" w:eastAsia="Times New Roman" w:hAnsi="Calibri" w:cs="Calibri"/>
                <w:bCs/>
                <w:color w:val="000000"/>
                <w:sz w:val="20"/>
                <w:szCs w:val="20"/>
              </w:rPr>
            </w:pPr>
            <w:r>
              <w:rPr>
                <w:rFonts w:ascii="Calibri" w:eastAsia="Times New Roman" w:hAnsi="Calibri" w:cs="Calibri"/>
                <w:bCs/>
                <w:color w:val="000000"/>
                <w:sz w:val="20"/>
                <w:szCs w:val="20"/>
              </w:rPr>
              <w:t>300,000</w:t>
            </w:r>
          </w:p>
        </w:tc>
      </w:tr>
      <w:tr w:rsidR="00F5515E" w:rsidTr="001A20E5">
        <w:trPr>
          <w:trHeight w:val="422"/>
        </w:trPr>
        <w:tc>
          <w:tcPr>
            <w:tcW w:w="6989" w:type="dxa"/>
            <w:gridSpan w:val="4"/>
            <w:tcBorders>
              <w:top w:val="single" w:sz="4" w:space="0" w:color="auto"/>
            </w:tcBorders>
            <w:shd w:val="clear" w:color="auto" w:fill="D9D9D9" w:themeFill="background1" w:themeFillShade="D9"/>
            <w:vAlign w:val="center"/>
          </w:tcPr>
          <w:p w:rsidR="00F5515E" w:rsidRPr="005A0452" w:rsidRDefault="00F5515E" w:rsidP="001A20E5">
            <w:pPr>
              <w:rPr>
                <w:b/>
              </w:rPr>
            </w:pPr>
            <w:r w:rsidRPr="005A0452">
              <w:rPr>
                <w:b/>
              </w:rPr>
              <w:t>Sub-total</w:t>
            </w:r>
            <w:r>
              <w:rPr>
                <w:b/>
              </w:rPr>
              <w:t>, Result 3</w:t>
            </w:r>
          </w:p>
        </w:tc>
        <w:tc>
          <w:tcPr>
            <w:tcW w:w="512"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513"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1200" w:type="dxa"/>
            <w:shd w:val="clear" w:color="auto" w:fill="D9D9D9" w:themeFill="background1" w:themeFillShade="D9"/>
            <w:vAlign w:val="center"/>
          </w:tcPr>
          <w:p w:rsidR="00F5515E" w:rsidRPr="005A0452" w:rsidRDefault="00F5515E" w:rsidP="00CF3EB2">
            <w:pPr>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620,000</w:t>
            </w:r>
          </w:p>
        </w:tc>
        <w:tc>
          <w:tcPr>
            <w:tcW w:w="1192" w:type="dxa"/>
            <w:shd w:val="clear" w:color="auto" w:fill="D9D9D9" w:themeFill="background1" w:themeFillShade="D9"/>
            <w:vAlign w:val="center"/>
          </w:tcPr>
          <w:p w:rsidR="00F5515E" w:rsidRPr="005A0452" w:rsidRDefault="00F5515E" w:rsidP="00CF3EB2">
            <w:pPr>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620,000</w:t>
            </w:r>
          </w:p>
        </w:tc>
        <w:tc>
          <w:tcPr>
            <w:tcW w:w="1192" w:type="dxa"/>
            <w:shd w:val="clear" w:color="auto" w:fill="D9D9D9" w:themeFill="background1" w:themeFillShade="D9"/>
            <w:vAlign w:val="center"/>
          </w:tcPr>
          <w:p w:rsidR="00F5515E" w:rsidRPr="005A0452" w:rsidRDefault="00F5515E" w:rsidP="001A20E5">
            <w:pPr>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1,240,000</w:t>
            </w:r>
          </w:p>
        </w:tc>
      </w:tr>
      <w:tr w:rsidR="00F5515E" w:rsidTr="001A20E5">
        <w:trPr>
          <w:trHeight w:val="494"/>
        </w:trPr>
        <w:tc>
          <w:tcPr>
            <w:tcW w:w="6989" w:type="dxa"/>
            <w:gridSpan w:val="4"/>
            <w:tcBorders>
              <w:top w:val="single" w:sz="4" w:space="0" w:color="auto"/>
            </w:tcBorders>
            <w:shd w:val="clear" w:color="auto" w:fill="D9D9D9" w:themeFill="background1" w:themeFillShade="D9"/>
            <w:vAlign w:val="center"/>
          </w:tcPr>
          <w:p w:rsidR="00F5515E" w:rsidRPr="005A0452" w:rsidRDefault="00F5515E" w:rsidP="001A20E5">
            <w:pPr>
              <w:rPr>
                <w:b/>
              </w:rPr>
            </w:pPr>
            <w:r>
              <w:rPr>
                <w:b/>
              </w:rPr>
              <w:lastRenderedPageBreak/>
              <w:t>Subtotal, Results 1-4</w:t>
            </w:r>
          </w:p>
        </w:tc>
        <w:tc>
          <w:tcPr>
            <w:tcW w:w="512"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513"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1200" w:type="dxa"/>
            <w:shd w:val="clear" w:color="auto" w:fill="D9D9D9" w:themeFill="background1" w:themeFillShade="D9"/>
            <w:vAlign w:val="center"/>
          </w:tcPr>
          <w:p w:rsidR="00F5515E" w:rsidRDefault="00F5515E" w:rsidP="00CF3EB2">
            <w:pPr>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1,780,000</w:t>
            </w:r>
            <w:r w:rsidRPr="00513B67">
              <w:rPr>
                <w:rStyle w:val="FootnoteReference"/>
                <w:rFonts w:ascii="Verdana" w:hAnsi="Verdana"/>
                <w:b/>
                <w:bCs/>
                <w:sz w:val="18"/>
                <w:szCs w:val="18"/>
                <w:lang w:val="en-US" w:eastAsia="en-US"/>
              </w:rPr>
              <w:footnoteReference w:id="9"/>
            </w:r>
          </w:p>
        </w:tc>
        <w:tc>
          <w:tcPr>
            <w:tcW w:w="1192" w:type="dxa"/>
            <w:shd w:val="clear" w:color="auto" w:fill="D9D9D9" w:themeFill="background1" w:themeFillShade="D9"/>
            <w:vAlign w:val="center"/>
          </w:tcPr>
          <w:p w:rsidR="00F5515E" w:rsidRDefault="00F5515E" w:rsidP="00CF3EB2">
            <w:pPr>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1,425,000</w:t>
            </w:r>
          </w:p>
        </w:tc>
        <w:tc>
          <w:tcPr>
            <w:tcW w:w="1192" w:type="dxa"/>
            <w:shd w:val="clear" w:color="auto" w:fill="D9D9D9" w:themeFill="background1" w:themeFillShade="D9"/>
            <w:vAlign w:val="center"/>
          </w:tcPr>
          <w:p w:rsidR="00F5515E" w:rsidRPr="005A0452" w:rsidRDefault="00F5515E" w:rsidP="001A20E5">
            <w:pPr>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3,205,000</w:t>
            </w:r>
          </w:p>
        </w:tc>
      </w:tr>
      <w:tr w:rsidR="00F5515E" w:rsidTr="00886B86">
        <w:trPr>
          <w:trHeight w:val="350"/>
        </w:trPr>
        <w:tc>
          <w:tcPr>
            <w:tcW w:w="6989" w:type="dxa"/>
            <w:gridSpan w:val="4"/>
            <w:tcBorders>
              <w:top w:val="single" w:sz="4" w:space="0" w:color="auto"/>
            </w:tcBorders>
            <w:shd w:val="clear" w:color="auto" w:fill="D9D9D9" w:themeFill="background1" w:themeFillShade="D9"/>
            <w:vAlign w:val="center"/>
          </w:tcPr>
          <w:p w:rsidR="00F5515E" w:rsidRPr="005A0452" w:rsidRDefault="00F5515E" w:rsidP="001A20E5">
            <w:pPr>
              <w:rPr>
                <w:b/>
              </w:rPr>
            </w:pPr>
            <w:r w:rsidRPr="00735A16">
              <w:rPr>
                <w:b/>
              </w:rPr>
              <w:t>Indirect support costs (7%)</w:t>
            </w:r>
          </w:p>
        </w:tc>
        <w:tc>
          <w:tcPr>
            <w:tcW w:w="512"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513"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1200" w:type="dxa"/>
            <w:shd w:val="clear" w:color="auto" w:fill="D9D9D9" w:themeFill="background1" w:themeFillShade="D9"/>
            <w:vAlign w:val="center"/>
          </w:tcPr>
          <w:p w:rsidR="00F5515E" w:rsidRDefault="00F5515E" w:rsidP="00CF3EB2">
            <w:pPr>
              <w:jc w:val="right"/>
              <w:rPr>
                <w:rFonts w:ascii="Calibri" w:eastAsia="Times New Roman" w:hAnsi="Calibri" w:cs="Calibri"/>
                <w:b/>
                <w:bCs/>
                <w:color w:val="000000"/>
                <w:sz w:val="20"/>
                <w:szCs w:val="20"/>
              </w:rPr>
            </w:pPr>
            <w:r w:rsidRPr="00735A16">
              <w:rPr>
                <w:rFonts w:ascii="Calibri" w:eastAsia="Times New Roman" w:hAnsi="Calibri" w:cs="Calibri"/>
                <w:b/>
                <w:bCs/>
                <w:color w:val="000000"/>
                <w:sz w:val="20"/>
                <w:szCs w:val="20"/>
              </w:rPr>
              <w:t>124,600</w:t>
            </w:r>
          </w:p>
        </w:tc>
        <w:tc>
          <w:tcPr>
            <w:tcW w:w="1192" w:type="dxa"/>
            <w:shd w:val="clear" w:color="auto" w:fill="D9D9D9" w:themeFill="background1" w:themeFillShade="D9"/>
            <w:vAlign w:val="center"/>
          </w:tcPr>
          <w:p w:rsidR="00F5515E" w:rsidRDefault="00F5515E" w:rsidP="00CF3EB2">
            <w:pPr>
              <w:jc w:val="right"/>
              <w:rPr>
                <w:rFonts w:ascii="Calibri" w:eastAsia="Times New Roman" w:hAnsi="Calibri" w:cs="Calibri"/>
                <w:b/>
                <w:bCs/>
                <w:color w:val="000000"/>
                <w:sz w:val="20"/>
                <w:szCs w:val="20"/>
              </w:rPr>
            </w:pPr>
            <w:r w:rsidRPr="00735A16">
              <w:rPr>
                <w:rFonts w:ascii="Calibri" w:eastAsia="Times New Roman" w:hAnsi="Calibri" w:cs="Calibri"/>
                <w:b/>
                <w:bCs/>
                <w:color w:val="000000"/>
                <w:sz w:val="20"/>
                <w:szCs w:val="20"/>
              </w:rPr>
              <w:t>99,750</w:t>
            </w:r>
          </w:p>
        </w:tc>
        <w:tc>
          <w:tcPr>
            <w:tcW w:w="1192" w:type="dxa"/>
            <w:shd w:val="clear" w:color="auto" w:fill="D9D9D9" w:themeFill="background1" w:themeFillShade="D9"/>
            <w:vAlign w:val="center"/>
          </w:tcPr>
          <w:p w:rsidR="00F5515E" w:rsidRPr="005A0452" w:rsidRDefault="00F5515E" w:rsidP="00886B86">
            <w:pPr>
              <w:jc w:val="right"/>
              <w:rPr>
                <w:rFonts w:ascii="Calibri" w:eastAsia="Times New Roman" w:hAnsi="Calibri" w:cs="Calibri"/>
                <w:b/>
                <w:bCs/>
                <w:color w:val="000000"/>
                <w:sz w:val="20"/>
                <w:szCs w:val="20"/>
              </w:rPr>
            </w:pPr>
            <w:r>
              <w:rPr>
                <w:rFonts w:ascii="Calibri" w:eastAsia="Times New Roman" w:hAnsi="Calibri" w:cs="Calibri"/>
                <w:b/>
                <w:bCs/>
                <w:color w:val="000000"/>
                <w:sz w:val="20"/>
                <w:szCs w:val="20"/>
              </w:rPr>
              <w:t>224,350</w:t>
            </w:r>
          </w:p>
        </w:tc>
      </w:tr>
      <w:tr w:rsidR="00F5515E" w:rsidTr="001A20E5">
        <w:trPr>
          <w:trHeight w:val="485"/>
        </w:trPr>
        <w:tc>
          <w:tcPr>
            <w:tcW w:w="6989" w:type="dxa"/>
            <w:gridSpan w:val="4"/>
            <w:tcBorders>
              <w:top w:val="single" w:sz="4" w:space="0" w:color="auto"/>
            </w:tcBorders>
            <w:shd w:val="clear" w:color="auto" w:fill="D9D9D9" w:themeFill="background1" w:themeFillShade="D9"/>
            <w:vAlign w:val="center"/>
          </w:tcPr>
          <w:p w:rsidR="00F5515E" w:rsidRPr="005A0452" w:rsidRDefault="00F5515E" w:rsidP="001A20E5">
            <w:pPr>
              <w:rPr>
                <w:b/>
              </w:rPr>
            </w:pPr>
            <w:r w:rsidRPr="00735A16">
              <w:rPr>
                <w:b/>
              </w:rPr>
              <w:t>Total Requested Amount (US$)</w:t>
            </w:r>
          </w:p>
        </w:tc>
        <w:tc>
          <w:tcPr>
            <w:tcW w:w="512"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513"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503" w:type="dxa"/>
            <w:shd w:val="clear" w:color="auto" w:fill="D9D9D9" w:themeFill="background1" w:themeFillShade="D9"/>
          </w:tcPr>
          <w:p w:rsidR="00F5515E" w:rsidRPr="005A0452" w:rsidRDefault="00F5515E" w:rsidP="00CF3EB2">
            <w:pPr>
              <w:rPr>
                <w:b/>
              </w:rPr>
            </w:pPr>
          </w:p>
        </w:tc>
        <w:tc>
          <w:tcPr>
            <w:tcW w:w="1200" w:type="dxa"/>
            <w:shd w:val="clear" w:color="auto" w:fill="D9D9D9" w:themeFill="background1" w:themeFillShade="D9"/>
            <w:vAlign w:val="center"/>
          </w:tcPr>
          <w:p w:rsidR="00F5515E" w:rsidRDefault="00F5515E" w:rsidP="00CF3EB2">
            <w:pPr>
              <w:jc w:val="right"/>
              <w:rPr>
                <w:rFonts w:ascii="Calibri" w:eastAsia="Times New Roman" w:hAnsi="Calibri" w:cs="Calibri"/>
                <w:b/>
                <w:bCs/>
                <w:color w:val="000000"/>
                <w:sz w:val="20"/>
                <w:szCs w:val="20"/>
              </w:rPr>
            </w:pPr>
            <w:r w:rsidRPr="00735A16">
              <w:rPr>
                <w:rFonts w:ascii="Calibri" w:eastAsia="Times New Roman" w:hAnsi="Calibri" w:cs="Calibri"/>
                <w:b/>
                <w:bCs/>
                <w:color w:val="000000"/>
                <w:sz w:val="20"/>
                <w:szCs w:val="20"/>
              </w:rPr>
              <w:t>1,904,600</w:t>
            </w:r>
            <w:r w:rsidRPr="00FD1D98">
              <w:rPr>
                <w:rStyle w:val="FootnoteReference"/>
                <w:rFonts w:ascii="Verdana" w:hAnsi="Verdana"/>
                <w:b/>
                <w:bCs/>
                <w:sz w:val="18"/>
                <w:szCs w:val="18"/>
                <w:lang w:val="en-US" w:eastAsia="en-US"/>
              </w:rPr>
              <w:footnoteReference w:id="10"/>
            </w:r>
          </w:p>
        </w:tc>
        <w:tc>
          <w:tcPr>
            <w:tcW w:w="1192" w:type="dxa"/>
            <w:shd w:val="clear" w:color="auto" w:fill="D9D9D9" w:themeFill="background1" w:themeFillShade="D9"/>
            <w:vAlign w:val="center"/>
          </w:tcPr>
          <w:p w:rsidR="00F5515E" w:rsidRDefault="00F5515E" w:rsidP="00CF3EB2">
            <w:pPr>
              <w:jc w:val="right"/>
              <w:rPr>
                <w:rFonts w:ascii="Calibri" w:eastAsia="Times New Roman" w:hAnsi="Calibri" w:cs="Calibri"/>
                <w:b/>
                <w:bCs/>
                <w:color w:val="000000"/>
                <w:sz w:val="20"/>
                <w:szCs w:val="20"/>
              </w:rPr>
            </w:pPr>
            <w:r w:rsidRPr="00735A16">
              <w:rPr>
                <w:rFonts w:ascii="Calibri" w:eastAsia="Times New Roman" w:hAnsi="Calibri" w:cs="Calibri"/>
                <w:b/>
                <w:bCs/>
                <w:color w:val="000000"/>
                <w:sz w:val="20"/>
                <w:szCs w:val="20"/>
              </w:rPr>
              <w:t>1,524,750</w:t>
            </w:r>
          </w:p>
        </w:tc>
        <w:tc>
          <w:tcPr>
            <w:tcW w:w="1192" w:type="dxa"/>
            <w:shd w:val="clear" w:color="auto" w:fill="D9D9D9" w:themeFill="background1" w:themeFillShade="D9"/>
            <w:vAlign w:val="center"/>
          </w:tcPr>
          <w:p w:rsidR="00F5515E" w:rsidRPr="005A0452" w:rsidRDefault="00F5515E" w:rsidP="00886B86">
            <w:pPr>
              <w:jc w:val="right"/>
              <w:rPr>
                <w:rFonts w:ascii="Calibri" w:eastAsia="Times New Roman" w:hAnsi="Calibri" w:cs="Calibri"/>
                <w:b/>
                <w:bCs/>
                <w:color w:val="000000"/>
                <w:sz w:val="20"/>
                <w:szCs w:val="20"/>
              </w:rPr>
            </w:pPr>
            <w:r w:rsidRPr="00F5515E">
              <w:rPr>
                <w:rFonts w:ascii="Calibri" w:eastAsia="Times New Roman" w:hAnsi="Calibri" w:cs="Calibri"/>
                <w:b/>
                <w:bCs/>
                <w:color w:val="000000"/>
                <w:sz w:val="20"/>
                <w:szCs w:val="20"/>
              </w:rPr>
              <w:t>3</w:t>
            </w:r>
            <w:r w:rsidR="001A20E5">
              <w:rPr>
                <w:rFonts w:ascii="Calibri" w:eastAsia="Times New Roman" w:hAnsi="Calibri" w:cs="Calibri"/>
                <w:b/>
                <w:bCs/>
                <w:color w:val="000000"/>
                <w:sz w:val="20"/>
                <w:szCs w:val="20"/>
              </w:rPr>
              <w:t>,</w:t>
            </w:r>
            <w:r w:rsidR="00886B86">
              <w:rPr>
                <w:rFonts w:ascii="Calibri" w:eastAsia="Times New Roman" w:hAnsi="Calibri" w:cs="Calibri"/>
                <w:b/>
                <w:bCs/>
                <w:color w:val="000000"/>
                <w:sz w:val="20"/>
                <w:szCs w:val="20"/>
              </w:rPr>
              <w:t>429,35</w:t>
            </w:r>
            <w:r w:rsidRPr="00F5515E">
              <w:rPr>
                <w:rFonts w:ascii="Calibri" w:eastAsia="Times New Roman" w:hAnsi="Calibri" w:cs="Calibri"/>
                <w:b/>
                <w:bCs/>
                <w:color w:val="000000"/>
                <w:sz w:val="20"/>
                <w:szCs w:val="20"/>
              </w:rPr>
              <w:t>0</w:t>
            </w:r>
          </w:p>
        </w:tc>
      </w:tr>
    </w:tbl>
    <w:p w:rsidR="00E143BE" w:rsidRDefault="00E143BE"/>
    <w:sectPr w:rsidR="00E143BE" w:rsidSect="0092010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EB2" w:rsidRDefault="00CF3EB2" w:rsidP="0036590B">
      <w:pPr>
        <w:spacing w:after="0" w:line="240" w:lineRule="auto"/>
      </w:pPr>
      <w:r>
        <w:separator/>
      </w:r>
    </w:p>
  </w:endnote>
  <w:endnote w:type="continuationSeparator" w:id="0">
    <w:p w:rsidR="00CF3EB2" w:rsidRDefault="00CF3EB2" w:rsidP="0036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188767"/>
      <w:docPartObj>
        <w:docPartGallery w:val="Page Numbers (Bottom of Page)"/>
        <w:docPartUnique/>
      </w:docPartObj>
    </w:sdtPr>
    <w:sdtEndPr>
      <w:rPr>
        <w:noProof/>
      </w:rPr>
    </w:sdtEndPr>
    <w:sdtContent>
      <w:p w:rsidR="00CF3EB2" w:rsidRDefault="00CF3EB2" w:rsidP="001A29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EB2" w:rsidRDefault="00CF3EB2" w:rsidP="0036590B">
      <w:pPr>
        <w:spacing w:after="0" w:line="240" w:lineRule="auto"/>
      </w:pPr>
      <w:r>
        <w:separator/>
      </w:r>
    </w:p>
  </w:footnote>
  <w:footnote w:type="continuationSeparator" w:id="0">
    <w:p w:rsidR="00CF3EB2" w:rsidRDefault="00CF3EB2" w:rsidP="0036590B">
      <w:pPr>
        <w:spacing w:after="0" w:line="240" w:lineRule="auto"/>
      </w:pPr>
      <w:r>
        <w:continuationSeparator/>
      </w:r>
    </w:p>
  </w:footnote>
  <w:footnote w:id="1">
    <w:p w:rsidR="00CF3EB2" w:rsidRPr="0036590B" w:rsidRDefault="00CF3EB2">
      <w:pPr>
        <w:pStyle w:val="FootnoteText"/>
        <w:rPr>
          <w:lang w:val="en-US"/>
        </w:rPr>
      </w:pPr>
      <w:r>
        <w:rPr>
          <w:rStyle w:val="FootnoteReference"/>
        </w:rPr>
        <w:footnoteRef/>
      </w:r>
      <w:r>
        <w:t xml:space="preserve"> </w:t>
      </w:r>
      <w:r w:rsidRPr="0036590B">
        <w:t>The work areas are: Measurement, Reporting and Verification (MRV); Governance; Stakeholder Engagement; Multiple Benefits and Safeguards; Transparency and Accountability; and, Green Economy</w:t>
      </w:r>
      <w:r>
        <w:t>.</w:t>
      </w:r>
    </w:p>
  </w:footnote>
  <w:footnote w:id="2">
    <w:p w:rsidR="00CF3EB2" w:rsidRPr="00432093" w:rsidRDefault="00CF3EB2" w:rsidP="00A0730B">
      <w:pPr>
        <w:pStyle w:val="FootnoteText"/>
      </w:pPr>
      <w:r>
        <w:rPr>
          <w:rStyle w:val="FootnoteReference"/>
        </w:rPr>
        <w:footnoteRef/>
      </w:r>
      <w:r>
        <w:t xml:space="preserve"> Out of this amount, approximately US</w:t>
      </w:r>
      <w:r w:rsidRPr="00432093">
        <w:rPr>
          <w:rFonts w:cs="Calibri"/>
        </w:rPr>
        <w:t>$</w:t>
      </w:r>
      <w:r>
        <w:t xml:space="preserve"> 670,000 is allocated to targeted support upon demand from countries. See also separate concept note on targeted support.</w:t>
      </w:r>
    </w:p>
  </w:footnote>
  <w:footnote w:id="3">
    <w:p w:rsidR="00CF3EB2" w:rsidRDefault="00CF3EB2" w:rsidP="0070400E">
      <w:pPr>
        <w:pStyle w:val="FootnoteText"/>
      </w:pPr>
      <w:r>
        <w:rPr>
          <w:rStyle w:val="FootnoteReference"/>
        </w:rPr>
        <w:footnoteRef/>
      </w:r>
      <w:r>
        <w:t xml:space="preserve"> As approved during the Ninth Meeting of the UN-REDD Programme Policy Board.</w:t>
      </w:r>
    </w:p>
  </w:footnote>
  <w:footnote w:id="4">
    <w:p w:rsidR="00CF3EB2" w:rsidRPr="00513B67" w:rsidRDefault="00CF3EB2" w:rsidP="0070400E">
      <w:pPr>
        <w:pStyle w:val="FootnoteText"/>
      </w:pPr>
      <w:r>
        <w:rPr>
          <w:rStyle w:val="FootnoteReference"/>
        </w:rPr>
        <w:footnoteRef/>
      </w:r>
      <w:r>
        <w:t xml:space="preserve"> The separate request for a restoration of the SNA budget does not include a request for Outcome 4 restoration for 2014 because it is included in this concept note.</w:t>
      </w:r>
      <w:bookmarkStart w:id="0" w:name="_GoBack"/>
      <w:bookmarkEnd w:id="0"/>
    </w:p>
  </w:footnote>
  <w:footnote w:id="5">
    <w:p w:rsidR="00CF3EB2" w:rsidRDefault="00CF3EB2">
      <w:pPr>
        <w:pStyle w:val="FootnoteText"/>
      </w:pPr>
      <w:r>
        <w:rPr>
          <w:rStyle w:val="FootnoteReference"/>
        </w:rPr>
        <w:footnoteRef/>
      </w:r>
      <w:r>
        <w:t xml:space="preserve"> </w:t>
      </w:r>
      <w:r w:rsidRPr="00715198">
        <w:t>The draft Framework will be embedded in the overall SNA Monitoring Framework 2013-2014</w:t>
      </w:r>
      <w:r>
        <w:t>.</w:t>
      </w:r>
    </w:p>
  </w:footnote>
  <w:footnote w:id="6">
    <w:p w:rsidR="00CF3EB2" w:rsidRPr="00414726" w:rsidRDefault="00CF3EB2" w:rsidP="00937A55">
      <w:pPr>
        <w:pStyle w:val="FootnoteText"/>
        <w:rPr>
          <w:lang w:val="en-US"/>
        </w:rPr>
      </w:pPr>
      <w:r>
        <w:rPr>
          <w:rStyle w:val="FootnoteReference"/>
        </w:rPr>
        <w:footnoteRef/>
      </w:r>
      <w:r>
        <w:rPr>
          <w:rFonts w:ascii="Verdana" w:hAnsi="Verdana"/>
          <w:sz w:val="18"/>
          <w:szCs w:val="18"/>
          <w:lang w:val="en-US" w:eastAsia="en-US"/>
        </w:rPr>
        <w:t xml:space="preserve">This result relates to </w:t>
      </w:r>
      <w:r w:rsidRPr="003437BD">
        <w:rPr>
          <w:rFonts w:ascii="Verdana" w:hAnsi="Verdana"/>
          <w:sz w:val="18"/>
          <w:szCs w:val="18"/>
          <w:lang w:val="en-US" w:eastAsia="en-US"/>
        </w:rPr>
        <w:t>SNA Output 4.3: Support for the implementation of effective stakeholder engagement practices and guidelines in REDD+ countries</w:t>
      </w:r>
      <w:r>
        <w:rPr>
          <w:rFonts w:ascii="Verdana" w:hAnsi="Verdana"/>
          <w:sz w:val="18"/>
          <w:szCs w:val="18"/>
          <w:lang w:val="en-US" w:eastAsia="en-US"/>
        </w:rPr>
        <w:t>.</w:t>
      </w:r>
    </w:p>
  </w:footnote>
  <w:footnote w:id="7">
    <w:p w:rsidR="00CF3EB2" w:rsidRPr="00414726" w:rsidRDefault="00CF3EB2" w:rsidP="00DD5B6C">
      <w:pPr>
        <w:pStyle w:val="FootnoteText"/>
        <w:rPr>
          <w:lang w:val="en-US"/>
        </w:rPr>
      </w:pPr>
      <w:r>
        <w:rPr>
          <w:rStyle w:val="FootnoteReference"/>
        </w:rPr>
        <w:footnoteRef/>
      </w:r>
      <w:r>
        <w:t xml:space="preserve"> </w:t>
      </w:r>
      <w:r>
        <w:rPr>
          <w:rFonts w:ascii="Verdana" w:hAnsi="Verdana"/>
          <w:sz w:val="18"/>
          <w:szCs w:val="18"/>
          <w:lang w:val="en-US" w:eastAsia="en-US"/>
        </w:rPr>
        <w:t>This result relates to S</w:t>
      </w:r>
      <w:r w:rsidRPr="003437BD">
        <w:rPr>
          <w:rFonts w:ascii="Verdana" w:hAnsi="Verdana"/>
          <w:sz w:val="18"/>
          <w:szCs w:val="18"/>
          <w:lang w:val="en-US" w:eastAsia="en-US"/>
        </w:rPr>
        <w:t>NA Output 4.4: Stakeholders are supported to engage in and influence national and international REDD+ processes</w:t>
      </w:r>
    </w:p>
  </w:footnote>
  <w:footnote w:id="8">
    <w:p w:rsidR="00CF3EB2" w:rsidRPr="00414726" w:rsidRDefault="00CF3EB2" w:rsidP="00DD5B6C">
      <w:pPr>
        <w:pStyle w:val="FootnoteText"/>
        <w:rPr>
          <w:lang w:val="en-US"/>
        </w:rPr>
      </w:pPr>
      <w:r>
        <w:rPr>
          <w:rStyle w:val="FootnoteReference"/>
        </w:rPr>
        <w:footnoteRef/>
      </w:r>
      <w:r>
        <w:t xml:space="preserve"> </w:t>
      </w:r>
      <w:r>
        <w:rPr>
          <w:rFonts w:ascii="Verdana" w:hAnsi="Verdana"/>
          <w:sz w:val="18"/>
          <w:szCs w:val="18"/>
          <w:lang w:val="en-US" w:eastAsia="en-US"/>
        </w:rPr>
        <w:t>This result relates to S</w:t>
      </w:r>
      <w:r w:rsidRPr="003437BD">
        <w:rPr>
          <w:rFonts w:ascii="Verdana" w:hAnsi="Verdana"/>
          <w:sz w:val="18"/>
          <w:szCs w:val="18"/>
          <w:lang w:val="en-US" w:eastAsia="en-US"/>
        </w:rPr>
        <w:t>NA Output 4.1: Indigenous Peoples, local communities, civil society organizations, and other relevant stakeholders are informed of national and international REDD+ processes, policies and activities</w:t>
      </w:r>
    </w:p>
  </w:footnote>
  <w:footnote w:id="9">
    <w:p w:rsidR="00CF3EB2" w:rsidRPr="00513B67" w:rsidRDefault="00CF3EB2" w:rsidP="00735A16">
      <w:pPr>
        <w:pStyle w:val="FootnoteText"/>
      </w:pPr>
      <w:r>
        <w:rPr>
          <w:rStyle w:val="FootnoteReference"/>
        </w:rPr>
        <w:footnoteRef/>
      </w:r>
      <w:r>
        <w:t xml:space="preserve"> </w:t>
      </w:r>
      <w:r w:rsidRPr="00840DA3">
        <w:rPr>
          <w:color w:val="000000"/>
        </w:rPr>
        <w:t>5% of this amount for monitoring and evaluation costs is included in the separate concept notes on “Results Based Management – Managing for Results” (SNA Outcome 8)</w:t>
      </w:r>
      <w:r>
        <w:rPr>
          <w:color w:val="000000"/>
        </w:rPr>
        <w:t>.</w:t>
      </w:r>
    </w:p>
  </w:footnote>
  <w:footnote w:id="10">
    <w:p w:rsidR="00CF3EB2" w:rsidRPr="00CF2752" w:rsidRDefault="00CF3EB2" w:rsidP="00735A16">
      <w:pPr>
        <w:pStyle w:val="FootnoteText"/>
      </w:pPr>
      <w:r>
        <w:rPr>
          <w:rStyle w:val="FootnoteReference"/>
        </w:rPr>
        <w:footnoteRef/>
      </w:r>
      <w:r>
        <w:t xml:space="preserve"> </w:t>
      </w:r>
      <w:r w:rsidRPr="00840DA3">
        <w:rPr>
          <w:color w:val="000000"/>
        </w:rPr>
        <w:t>Out of this amount, about US</w:t>
      </w:r>
      <w:r w:rsidRPr="00840DA3">
        <w:rPr>
          <w:rFonts w:cs="Calibri"/>
          <w:color w:val="000000"/>
        </w:rPr>
        <w:t>$</w:t>
      </w:r>
      <w:r>
        <w:rPr>
          <w:color w:val="000000"/>
        </w:rPr>
        <w:t xml:space="preserve"> 670</w:t>
      </w:r>
      <w:r w:rsidRPr="00840DA3">
        <w:rPr>
          <w:color w:val="000000"/>
        </w:rPr>
        <w:t>,000 is allocated to targeted support upon demand from countries. See separate concept note on targeted support</w:t>
      </w:r>
      <w:r>
        <w:rPr>
          <w:color w:val="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520"/>
    <w:multiLevelType w:val="hybridMultilevel"/>
    <w:tmpl w:val="2CF4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B0275"/>
    <w:multiLevelType w:val="hybridMultilevel"/>
    <w:tmpl w:val="DBFC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0A4663"/>
    <w:multiLevelType w:val="hybridMultilevel"/>
    <w:tmpl w:val="CEDEB742"/>
    <w:lvl w:ilvl="0" w:tplc="0B8096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B47A8A"/>
    <w:multiLevelType w:val="hybridMultilevel"/>
    <w:tmpl w:val="AE58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C94659"/>
    <w:multiLevelType w:val="hybridMultilevel"/>
    <w:tmpl w:val="C6B0C9BC"/>
    <w:lvl w:ilvl="0" w:tplc="04090001">
      <w:start w:val="1"/>
      <w:numFmt w:val="bullet"/>
      <w:lvlText w:val=""/>
      <w:lvlJc w:val="left"/>
      <w:pPr>
        <w:ind w:left="720" w:hanging="360"/>
      </w:pPr>
      <w:rPr>
        <w:rFonts w:ascii="Symbol" w:hAnsi="Symbol" w:hint="default"/>
      </w:rPr>
    </w:lvl>
    <w:lvl w:ilvl="1" w:tplc="6E04FDB4">
      <w:start w:val="1"/>
      <w:numFmt w:val="bullet"/>
      <w:lvlText w:val="o"/>
      <w:lvlJc w:val="left"/>
      <w:pPr>
        <w:ind w:left="1440" w:hanging="360"/>
      </w:pPr>
      <w:rPr>
        <w:rFonts w:ascii="Calibri" w:hAnsi="Calibri"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3180E"/>
    <w:multiLevelType w:val="hybridMultilevel"/>
    <w:tmpl w:val="F568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E70359"/>
    <w:multiLevelType w:val="hybridMultilevel"/>
    <w:tmpl w:val="53A66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D93313"/>
    <w:multiLevelType w:val="hybridMultilevel"/>
    <w:tmpl w:val="40A6AEDC"/>
    <w:lvl w:ilvl="0" w:tplc="E8C44B50">
      <w:start w:val="3"/>
      <w:numFmt w:val="bullet"/>
      <w:lvlText w:val="-"/>
      <w:lvlJc w:val="left"/>
      <w:pPr>
        <w:ind w:left="1080" w:hanging="360"/>
      </w:pPr>
      <w:rPr>
        <w:rFonts w:ascii="Calibri" w:eastAsiaTheme="minorEastAsia"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B1043C3"/>
    <w:multiLevelType w:val="hybridMultilevel"/>
    <w:tmpl w:val="868A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256685"/>
    <w:multiLevelType w:val="hybridMultilevel"/>
    <w:tmpl w:val="2330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C86A92"/>
    <w:multiLevelType w:val="hybridMultilevel"/>
    <w:tmpl w:val="C0B22830"/>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73D923A4"/>
    <w:multiLevelType w:val="hybridMultilevel"/>
    <w:tmpl w:val="01544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167C63"/>
    <w:multiLevelType w:val="hybridMultilevel"/>
    <w:tmpl w:val="DBA03BF6"/>
    <w:lvl w:ilvl="0" w:tplc="C204B9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90B636F"/>
    <w:multiLevelType w:val="hybridMultilevel"/>
    <w:tmpl w:val="A704F70A"/>
    <w:lvl w:ilvl="0" w:tplc="0B8096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7"/>
  </w:num>
  <w:num w:numId="5">
    <w:abstractNumId w:val="3"/>
  </w:num>
  <w:num w:numId="6">
    <w:abstractNumId w:val="9"/>
  </w:num>
  <w:num w:numId="7">
    <w:abstractNumId w:val="5"/>
  </w:num>
  <w:num w:numId="8">
    <w:abstractNumId w:val="4"/>
  </w:num>
  <w:num w:numId="9">
    <w:abstractNumId w:val="6"/>
  </w:num>
  <w:num w:numId="10">
    <w:abstractNumId w:val="10"/>
  </w:num>
  <w:num w:numId="11">
    <w:abstractNumId w:val="0"/>
  </w:num>
  <w:num w:numId="12">
    <w:abstractNumId w:val="1"/>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10E"/>
    <w:rsid w:val="000364F5"/>
    <w:rsid w:val="00044332"/>
    <w:rsid w:val="0011651D"/>
    <w:rsid w:val="001A20E5"/>
    <w:rsid w:val="001A291E"/>
    <w:rsid w:val="001E1ED4"/>
    <w:rsid w:val="00240061"/>
    <w:rsid w:val="00284375"/>
    <w:rsid w:val="00311CB4"/>
    <w:rsid w:val="003615C6"/>
    <w:rsid w:val="0036590B"/>
    <w:rsid w:val="00393EDE"/>
    <w:rsid w:val="003B08E2"/>
    <w:rsid w:val="00485AC9"/>
    <w:rsid w:val="00497C8A"/>
    <w:rsid w:val="004A3DDE"/>
    <w:rsid w:val="00556F48"/>
    <w:rsid w:val="005A0452"/>
    <w:rsid w:val="006F294D"/>
    <w:rsid w:val="0070400E"/>
    <w:rsid w:val="00712F5B"/>
    <w:rsid w:val="00715198"/>
    <w:rsid w:val="00735A16"/>
    <w:rsid w:val="007E2BF7"/>
    <w:rsid w:val="00886B86"/>
    <w:rsid w:val="00906FE7"/>
    <w:rsid w:val="0092010E"/>
    <w:rsid w:val="00937A55"/>
    <w:rsid w:val="0098675D"/>
    <w:rsid w:val="00986F65"/>
    <w:rsid w:val="009E71B3"/>
    <w:rsid w:val="00A0730B"/>
    <w:rsid w:val="00AA2D68"/>
    <w:rsid w:val="00AA59B9"/>
    <w:rsid w:val="00BD21F8"/>
    <w:rsid w:val="00C241E7"/>
    <w:rsid w:val="00C448DB"/>
    <w:rsid w:val="00C54C70"/>
    <w:rsid w:val="00C71206"/>
    <w:rsid w:val="00CC79A4"/>
    <w:rsid w:val="00CF3EB2"/>
    <w:rsid w:val="00D0174E"/>
    <w:rsid w:val="00DD5B6C"/>
    <w:rsid w:val="00E143BE"/>
    <w:rsid w:val="00EB7A93"/>
    <w:rsid w:val="00EF52FD"/>
    <w:rsid w:val="00F10FBC"/>
    <w:rsid w:val="00F13BA6"/>
    <w:rsid w:val="00F15C94"/>
    <w:rsid w:val="00F351D0"/>
    <w:rsid w:val="00F5515E"/>
    <w:rsid w:val="00F66E35"/>
    <w:rsid w:val="00FD2E1D"/>
    <w:rsid w:val="00FF3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0E"/>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0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92010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Paragraph">
    <w:name w:val="List Paragraph"/>
    <w:basedOn w:val="Normal"/>
    <w:uiPriority w:val="34"/>
    <w:qFormat/>
    <w:rsid w:val="0092010E"/>
    <w:pPr>
      <w:ind w:left="720"/>
      <w:contextualSpacing/>
    </w:pPr>
  </w:style>
  <w:style w:type="paragraph" w:styleId="BalloonText">
    <w:name w:val="Balloon Text"/>
    <w:basedOn w:val="Normal"/>
    <w:link w:val="BalloonTextChar"/>
    <w:uiPriority w:val="99"/>
    <w:semiHidden/>
    <w:unhideWhenUsed/>
    <w:rsid w:val="0092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10E"/>
    <w:rPr>
      <w:rFonts w:ascii="Tahoma" w:eastAsiaTheme="minorEastAsia" w:hAnsi="Tahoma" w:cs="Tahoma"/>
      <w:sz w:val="16"/>
      <w:szCs w:val="16"/>
      <w:lang w:val="en-GB" w:eastAsia="en-GB"/>
    </w:rPr>
  </w:style>
  <w:style w:type="character" w:styleId="CommentReference">
    <w:name w:val="annotation reference"/>
    <w:basedOn w:val="DefaultParagraphFont"/>
    <w:uiPriority w:val="99"/>
    <w:semiHidden/>
    <w:unhideWhenUsed/>
    <w:rsid w:val="0092010E"/>
    <w:rPr>
      <w:sz w:val="16"/>
      <w:szCs w:val="16"/>
    </w:rPr>
  </w:style>
  <w:style w:type="paragraph" w:styleId="CommentText">
    <w:name w:val="annotation text"/>
    <w:basedOn w:val="Normal"/>
    <w:link w:val="CommentTextChar"/>
    <w:uiPriority w:val="99"/>
    <w:semiHidden/>
    <w:unhideWhenUsed/>
    <w:rsid w:val="0092010E"/>
    <w:pPr>
      <w:spacing w:line="240" w:lineRule="auto"/>
    </w:pPr>
    <w:rPr>
      <w:sz w:val="20"/>
      <w:szCs w:val="20"/>
    </w:rPr>
  </w:style>
  <w:style w:type="character" w:customStyle="1" w:styleId="CommentTextChar">
    <w:name w:val="Comment Text Char"/>
    <w:basedOn w:val="DefaultParagraphFont"/>
    <w:link w:val="CommentText"/>
    <w:uiPriority w:val="99"/>
    <w:semiHidden/>
    <w:rsid w:val="0092010E"/>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92010E"/>
    <w:rPr>
      <w:b/>
      <w:bCs/>
    </w:rPr>
  </w:style>
  <w:style w:type="character" w:customStyle="1" w:styleId="CommentSubjectChar">
    <w:name w:val="Comment Subject Char"/>
    <w:basedOn w:val="CommentTextChar"/>
    <w:link w:val="CommentSubject"/>
    <w:uiPriority w:val="99"/>
    <w:semiHidden/>
    <w:rsid w:val="0092010E"/>
    <w:rPr>
      <w:rFonts w:eastAsiaTheme="minorEastAsia"/>
      <w:b/>
      <w:bCs/>
      <w:sz w:val="20"/>
      <w:szCs w:val="20"/>
      <w:lang w:val="en-GB" w:eastAsia="en-GB"/>
    </w:rPr>
  </w:style>
  <w:style w:type="character" w:styleId="Hyperlink">
    <w:name w:val="Hyperlink"/>
    <w:basedOn w:val="DefaultParagraphFont"/>
    <w:uiPriority w:val="99"/>
    <w:unhideWhenUsed/>
    <w:rsid w:val="0036590B"/>
    <w:rPr>
      <w:color w:val="0000FF" w:themeColor="hyperlink"/>
      <w:u w:val="single"/>
    </w:rPr>
  </w:style>
  <w:style w:type="paragraph" w:styleId="FootnoteText">
    <w:name w:val="footnote text"/>
    <w:basedOn w:val="Normal"/>
    <w:link w:val="FootnoteTextChar"/>
    <w:uiPriority w:val="99"/>
    <w:unhideWhenUsed/>
    <w:rsid w:val="0036590B"/>
    <w:pPr>
      <w:spacing w:after="0" w:line="240" w:lineRule="auto"/>
    </w:pPr>
    <w:rPr>
      <w:sz w:val="20"/>
      <w:szCs w:val="20"/>
    </w:rPr>
  </w:style>
  <w:style w:type="character" w:customStyle="1" w:styleId="FootnoteTextChar">
    <w:name w:val="Footnote Text Char"/>
    <w:basedOn w:val="DefaultParagraphFont"/>
    <w:link w:val="FootnoteText"/>
    <w:uiPriority w:val="99"/>
    <w:rsid w:val="0036590B"/>
    <w:rPr>
      <w:rFonts w:eastAsiaTheme="minorEastAsia"/>
      <w:sz w:val="20"/>
      <w:szCs w:val="20"/>
      <w:lang w:val="en-GB" w:eastAsia="en-GB"/>
    </w:rPr>
  </w:style>
  <w:style w:type="character" w:styleId="FootnoteReference">
    <w:name w:val="footnote reference"/>
    <w:basedOn w:val="DefaultParagraphFont"/>
    <w:uiPriority w:val="99"/>
    <w:unhideWhenUsed/>
    <w:rsid w:val="0036590B"/>
    <w:rPr>
      <w:vertAlign w:val="superscript"/>
    </w:rPr>
  </w:style>
  <w:style w:type="paragraph" w:styleId="Header">
    <w:name w:val="header"/>
    <w:basedOn w:val="Normal"/>
    <w:link w:val="HeaderChar"/>
    <w:uiPriority w:val="99"/>
    <w:unhideWhenUsed/>
    <w:rsid w:val="0039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EDE"/>
    <w:rPr>
      <w:rFonts w:eastAsiaTheme="minorEastAsia"/>
      <w:lang w:val="en-GB" w:eastAsia="en-GB"/>
    </w:rPr>
  </w:style>
  <w:style w:type="paragraph" w:styleId="Footer">
    <w:name w:val="footer"/>
    <w:basedOn w:val="Normal"/>
    <w:link w:val="FooterChar"/>
    <w:uiPriority w:val="99"/>
    <w:unhideWhenUsed/>
    <w:rsid w:val="0039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EDE"/>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0E"/>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01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1">
    <w:name w:val="Medium Grid 3 Accent 1"/>
    <w:basedOn w:val="TableNormal"/>
    <w:uiPriority w:val="69"/>
    <w:rsid w:val="0092010E"/>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ListParagraph">
    <w:name w:val="List Paragraph"/>
    <w:basedOn w:val="Normal"/>
    <w:uiPriority w:val="34"/>
    <w:qFormat/>
    <w:rsid w:val="0092010E"/>
    <w:pPr>
      <w:ind w:left="720"/>
      <w:contextualSpacing/>
    </w:pPr>
  </w:style>
  <w:style w:type="paragraph" w:styleId="BalloonText">
    <w:name w:val="Balloon Text"/>
    <w:basedOn w:val="Normal"/>
    <w:link w:val="BalloonTextChar"/>
    <w:uiPriority w:val="99"/>
    <w:semiHidden/>
    <w:unhideWhenUsed/>
    <w:rsid w:val="0092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10E"/>
    <w:rPr>
      <w:rFonts w:ascii="Tahoma" w:eastAsiaTheme="minorEastAsia" w:hAnsi="Tahoma" w:cs="Tahoma"/>
      <w:sz w:val="16"/>
      <w:szCs w:val="16"/>
      <w:lang w:val="en-GB" w:eastAsia="en-GB"/>
    </w:rPr>
  </w:style>
  <w:style w:type="character" w:styleId="CommentReference">
    <w:name w:val="annotation reference"/>
    <w:basedOn w:val="DefaultParagraphFont"/>
    <w:uiPriority w:val="99"/>
    <w:semiHidden/>
    <w:unhideWhenUsed/>
    <w:rsid w:val="0092010E"/>
    <w:rPr>
      <w:sz w:val="16"/>
      <w:szCs w:val="16"/>
    </w:rPr>
  </w:style>
  <w:style w:type="paragraph" w:styleId="CommentText">
    <w:name w:val="annotation text"/>
    <w:basedOn w:val="Normal"/>
    <w:link w:val="CommentTextChar"/>
    <w:uiPriority w:val="99"/>
    <w:semiHidden/>
    <w:unhideWhenUsed/>
    <w:rsid w:val="0092010E"/>
    <w:pPr>
      <w:spacing w:line="240" w:lineRule="auto"/>
    </w:pPr>
    <w:rPr>
      <w:sz w:val="20"/>
      <w:szCs w:val="20"/>
    </w:rPr>
  </w:style>
  <w:style w:type="character" w:customStyle="1" w:styleId="CommentTextChar">
    <w:name w:val="Comment Text Char"/>
    <w:basedOn w:val="DefaultParagraphFont"/>
    <w:link w:val="CommentText"/>
    <w:uiPriority w:val="99"/>
    <w:semiHidden/>
    <w:rsid w:val="0092010E"/>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92010E"/>
    <w:rPr>
      <w:b/>
      <w:bCs/>
    </w:rPr>
  </w:style>
  <w:style w:type="character" w:customStyle="1" w:styleId="CommentSubjectChar">
    <w:name w:val="Comment Subject Char"/>
    <w:basedOn w:val="CommentTextChar"/>
    <w:link w:val="CommentSubject"/>
    <w:uiPriority w:val="99"/>
    <w:semiHidden/>
    <w:rsid w:val="0092010E"/>
    <w:rPr>
      <w:rFonts w:eastAsiaTheme="minorEastAsia"/>
      <w:b/>
      <w:bCs/>
      <w:sz w:val="20"/>
      <w:szCs w:val="20"/>
      <w:lang w:val="en-GB" w:eastAsia="en-GB"/>
    </w:rPr>
  </w:style>
  <w:style w:type="character" w:styleId="Hyperlink">
    <w:name w:val="Hyperlink"/>
    <w:basedOn w:val="DefaultParagraphFont"/>
    <w:uiPriority w:val="99"/>
    <w:unhideWhenUsed/>
    <w:rsid w:val="0036590B"/>
    <w:rPr>
      <w:color w:val="0000FF" w:themeColor="hyperlink"/>
      <w:u w:val="single"/>
    </w:rPr>
  </w:style>
  <w:style w:type="paragraph" w:styleId="FootnoteText">
    <w:name w:val="footnote text"/>
    <w:basedOn w:val="Normal"/>
    <w:link w:val="FootnoteTextChar"/>
    <w:uiPriority w:val="99"/>
    <w:unhideWhenUsed/>
    <w:rsid w:val="0036590B"/>
    <w:pPr>
      <w:spacing w:after="0" w:line="240" w:lineRule="auto"/>
    </w:pPr>
    <w:rPr>
      <w:sz w:val="20"/>
      <w:szCs w:val="20"/>
    </w:rPr>
  </w:style>
  <w:style w:type="character" w:customStyle="1" w:styleId="FootnoteTextChar">
    <w:name w:val="Footnote Text Char"/>
    <w:basedOn w:val="DefaultParagraphFont"/>
    <w:link w:val="FootnoteText"/>
    <w:uiPriority w:val="99"/>
    <w:rsid w:val="0036590B"/>
    <w:rPr>
      <w:rFonts w:eastAsiaTheme="minorEastAsia"/>
      <w:sz w:val="20"/>
      <w:szCs w:val="20"/>
      <w:lang w:val="en-GB" w:eastAsia="en-GB"/>
    </w:rPr>
  </w:style>
  <w:style w:type="character" w:styleId="FootnoteReference">
    <w:name w:val="footnote reference"/>
    <w:basedOn w:val="DefaultParagraphFont"/>
    <w:uiPriority w:val="99"/>
    <w:unhideWhenUsed/>
    <w:rsid w:val="0036590B"/>
    <w:rPr>
      <w:vertAlign w:val="superscript"/>
    </w:rPr>
  </w:style>
  <w:style w:type="paragraph" w:styleId="Header">
    <w:name w:val="header"/>
    <w:basedOn w:val="Normal"/>
    <w:link w:val="HeaderChar"/>
    <w:uiPriority w:val="99"/>
    <w:unhideWhenUsed/>
    <w:rsid w:val="00393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EDE"/>
    <w:rPr>
      <w:rFonts w:eastAsiaTheme="minorEastAsia"/>
      <w:lang w:val="en-GB" w:eastAsia="en-GB"/>
    </w:rPr>
  </w:style>
  <w:style w:type="paragraph" w:styleId="Footer">
    <w:name w:val="footer"/>
    <w:basedOn w:val="Normal"/>
    <w:link w:val="FooterChar"/>
    <w:uiPriority w:val="99"/>
    <w:unhideWhenUsed/>
    <w:rsid w:val="00393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EDE"/>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unredd.net/index.php?option=com_docman&amp;task=doc_download&amp;gid=4598&amp;Itemid=53"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DE4F7-32D8-49B3-97C2-069BE2B7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2480</Words>
  <Characters>14136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ERIKSSON</cp:lastModifiedBy>
  <cp:revision>4</cp:revision>
  <dcterms:created xsi:type="dcterms:W3CDTF">2013-10-24T08:02:00Z</dcterms:created>
  <dcterms:modified xsi:type="dcterms:W3CDTF">2013-10-25T17:15:00Z</dcterms:modified>
</cp:coreProperties>
</file>