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0E" w:rsidRPr="00F13D55" w:rsidRDefault="00E01B05" w:rsidP="0092010E">
      <w:pPr>
        <w:rPr>
          <w:b/>
          <w:color w:val="000000" w:themeColor="text1"/>
          <w:sz w:val="32"/>
          <w:szCs w:val="32"/>
        </w:rPr>
      </w:pPr>
      <w:r w:rsidRPr="00E01B05">
        <w:rPr>
          <w:b/>
          <w:i/>
          <w:noProof/>
          <w:color w:val="000000" w:themeColor="text1"/>
          <w:sz w:val="28"/>
          <w:szCs w:val="28"/>
        </w:rPr>
        <w:pict>
          <v:shapetype id="_x0000_t202" coordsize="21600,21600" o:spt="202" path="m,l,21600r21600,l21600,xe">
            <v:stroke joinstyle="miter"/>
            <v:path gradientshapeok="t" o:connecttype="rect"/>
          </v:shapetype>
          <v:shape id="Text Box 2" o:spid="_x0000_s1026" type="#_x0000_t202" style="position:absolute;margin-left:141.75pt;margin-top:-17.25pt;width:331.5pt;height:68.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" stroked="f">
            <v:textbox>
              <w:txbxContent>
                <w:p w:rsidR="0092010E" w:rsidRPr="0092010E" w:rsidRDefault="00EA7024" w:rsidP="00EA7024">
                  <w:pPr>
                    <w:spacing w:line="240" w:lineRule="auto"/>
                  </w:pPr>
                  <w:bookmarkStart w:id="0" w:name="_GoBack"/>
                  <w:r w:rsidRPr="00EA7024">
                    <w:rPr>
                      <w:b/>
                      <w:sz w:val="32"/>
                    </w:rPr>
                    <w:t>Systematic approach to country support - Innovate REDD+ approaches at country level by better understanding their needs</w:t>
                  </w:r>
                  <w:bookmarkEnd w:id="0"/>
                </w:p>
              </w:txbxContent>
            </v:textbox>
          </v:shape>
        </w:pict>
      </w:r>
      <w:r w:rsidR="00F5220D" w:rsidRPr="00F13D55">
        <w:rPr>
          <w:noProof/>
          <w:lang w:val="en-US" w:eastAsia="en-US"/>
        </w:rPr>
        <w:drawing>
          <wp:anchor distT="0" distB="0" distL="114300" distR="114300" simplePos="0" relativeHeight="251659264" behindDoc="1" locked="0" layoutInCell="1" allowOverlap="1">
            <wp:simplePos x="0" y="0"/>
            <wp:positionH relativeFrom="column">
              <wp:posOffset>-54610</wp:posOffset>
            </wp:positionH>
            <wp:positionV relativeFrom="paragraph">
              <wp:posOffset>-450941</wp:posOffset>
            </wp:positionV>
            <wp:extent cx="1382395" cy="1039495"/>
            <wp:effectExtent l="0" t="0" r="0" b="825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8" cstate="print"/>
                    <a:srcRect/>
                    <a:stretch>
                      <a:fillRect/>
                    </a:stretch>
                  </pic:blipFill>
                  <pic:spPr bwMode="auto">
                    <a:xfrm>
                      <a:off x="0" y="0"/>
                      <a:ext cx="1382395" cy="1039495"/>
                    </a:xfrm>
                    <a:prstGeom prst="rect">
                      <a:avLst/>
                    </a:prstGeom>
                    <a:noFill/>
                    <a:ln w="9525">
                      <a:noFill/>
                      <a:miter lim="800000"/>
                      <a:headEnd/>
                      <a:tailEnd/>
                    </a:ln>
                  </pic:spPr>
                </pic:pic>
              </a:graphicData>
            </a:graphic>
          </wp:anchor>
        </w:drawing>
      </w:r>
      <w:r w:rsidRPr="00E01B05">
        <w:rPr>
          <w:b/>
          <w:noProof/>
          <w:color w:val="000000" w:themeColor="text1"/>
          <w:sz w:val="32"/>
          <w:szCs w:val="32"/>
        </w:rPr>
        <w:pict>
          <v:shape id="_x0000_s1027" type="#_x0000_t202" style="position:absolute;margin-left:286.5pt;margin-top:-45.65pt;width:186.75pt;height:32.25pt;z-index:251661312;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w:r>
    </w:p>
    <w:p w:rsidR="0092010E" w:rsidRPr="00F13D55" w:rsidRDefault="0092010E" w:rsidP="0092010E">
      <w:pPr>
        <w:spacing w:after="0"/>
        <w:ind w:left="2880" w:hanging="2880"/>
        <w:jc w:val="center"/>
        <w:rPr>
          <w:b/>
          <w:i/>
          <w:color w:val="000000" w:themeColor="text1"/>
          <w:sz w:val="28"/>
          <w:szCs w:val="28"/>
        </w:rPr>
      </w:pPr>
    </w:p>
    <w:tbl>
      <w:tblPr>
        <w:tblStyle w:val="MediumGrid3-Accent1"/>
        <w:tblW w:w="9606" w:type="dxa"/>
        <w:tblLook w:val="04A0"/>
      </w:tblPr>
      <w:tblGrid>
        <w:gridCol w:w="2518"/>
        <w:gridCol w:w="7088"/>
      </w:tblGrid>
      <w:tr w:rsidR="0092010E" w:rsidTr="00DD4C55">
        <w:trPr>
          <w:cnfStyle w:val="100000000000"/>
        </w:trPr>
        <w:tc>
          <w:tcPr>
            <w:cnfStyle w:val="001000000000"/>
            <w:tcW w:w="9606" w:type="dxa"/>
            <w:gridSpan w:val="2"/>
          </w:tcPr>
          <w:p w:rsidR="0092010E" w:rsidRPr="006F294D" w:rsidRDefault="0092010E">
            <w:pPr>
              <w:rPr>
                <w:sz w:val="24"/>
                <w:szCs w:val="24"/>
              </w:rPr>
            </w:pPr>
            <w:r w:rsidRPr="006F294D">
              <w:rPr>
                <w:sz w:val="24"/>
                <w:szCs w:val="24"/>
              </w:rPr>
              <w:t>I. Summary</w:t>
            </w:r>
          </w:p>
        </w:tc>
      </w:tr>
      <w:tr w:rsidR="0092010E" w:rsidTr="00EA7024">
        <w:trPr>
          <w:cnfStyle w:val="000000100000"/>
          <w:trHeight w:val="921"/>
        </w:trPr>
        <w:tc>
          <w:tcPr>
            <w:cnfStyle w:val="001000000000"/>
            <w:tcW w:w="2518" w:type="dxa"/>
          </w:tcPr>
          <w:p w:rsidR="0092010E" w:rsidRPr="00213A44" w:rsidRDefault="0092010E" w:rsidP="00F5220D">
            <w:pPr>
              <w:spacing w:before="240"/>
              <w:rPr>
                <w:sz w:val="24"/>
                <w:szCs w:val="24"/>
              </w:rPr>
            </w:pPr>
            <w:r w:rsidRPr="00213A44">
              <w:rPr>
                <w:sz w:val="24"/>
                <w:szCs w:val="24"/>
              </w:rPr>
              <w:t>Objective</w:t>
            </w:r>
          </w:p>
        </w:tc>
        <w:tc>
          <w:tcPr>
            <w:tcW w:w="7088" w:type="dxa"/>
            <w:shd w:val="clear" w:color="auto" w:fill="DBE5F1" w:themeFill="accent1" w:themeFillTint="33"/>
          </w:tcPr>
          <w:p w:rsidR="0098675D" w:rsidRPr="00213A44" w:rsidRDefault="00EA7024" w:rsidP="00213A44">
            <w:pPr>
              <w:spacing w:before="240" w:line="276" w:lineRule="auto"/>
              <w:cnfStyle w:val="000000100000"/>
            </w:pPr>
            <w:r w:rsidRPr="00213A44">
              <w:t>To obtain  better knowledge of country needs,  and help them to allocate our support and support from other sources based on an assessment of their needs</w:t>
            </w:r>
          </w:p>
        </w:tc>
      </w:tr>
      <w:tr w:rsidR="0092010E" w:rsidTr="00EA7024">
        <w:trPr>
          <w:trHeight w:val="2320"/>
        </w:trPr>
        <w:tc>
          <w:tcPr>
            <w:cnfStyle w:val="001000000000"/>
            <w:tcW w:w="2518" w:type="dxa"/>
          </w:tcPr>
          <w:p w:rsidR="0092010E" w:rsidRPr="00213A44" w:rsidRDefault="0092010E" w:rsidP="00EA7024">
            <w:pPr>
              <w:spacing w:before="240"/>
              <w:rPr>
                <w:sz w:val="24"/>
                <w:szCs w:val="24"/>
              </w:rPr>
            </w:pPr>
            <w:r w:rsidRPr="00213A44">
              <w:rPr>
                <w:sz w:val="24"/>
                <w:szCs w:val="24"/>
              </w:rPr>
              <w:t>Expected results</w:t>
            </w:r>
          </w:p>
        </w:tc>
        <w:tc>
          <w:tcPr>
            <w:tcW w:w="7088" w:type="dxa"/>
            <w:shd w:val="clear" w:color="auto" w:fill="DBE5F1" w:themeFill="accent1" w:themeFillTint="33"/>
          </w:tcPr>
          <w:p w:rsidR="00EA7024" w:rsidRPr="00213A44" w:rsidRDefault="00EA7024" w:rsidP="00213A44">
            <w:pPr>
              <w:spacing w:before="240" w:line="276" w:lineRule="auto"/>
              <w:cnfStyle w:val="000000000000"/>
            </w:pPr>
            <w:r w:rsidRPr="00213A44">
              <w:t>The assessments of</w:t>
            </w:r>
            <w:r w:rsidR="00CA66B5">
              <w:t xml:space="preserve"> the country needs will lead to:</w:t>
            </w:r>
          </w:p>
          <w:p w:rsidR="008C35E4" w:rsidRPr="008C35E4" w:rsidRDefault="00EA7024" w:rsidP="00E9500B">
            <w:pPr>
              <w:spacing w:before="240"/>
              <w:cnfStyle w:val="000000000000"/>
            </w:pPr>
            <w:r w:rsidRPr="008C35E4">
              <w:t>Enhanced leadership by the countries towards more integrated and better coordinated programmes and readiness activities</w:t>
            </w:r>
            <w:r w:rsidR="00A15EC0" w:rsidRPr="008C35E4">
              <w:t>.</w:t>
            </w:r>
            <w:r w:rsidR="008C35E4" w:rsidRPr="00E9500B">
              <w:t>, including;</w:t>
            </w:r>
          </w:p>
          <w:p w:rsidR="00A15EC0" w:rsidRPr="008C35E4" w:rsidRDefault="00A15EC0" w:rsidP="00E9500B">
            <w:pPr>
              <w:pStyle w:val="ListParagraph"/>
              <w:numPr>
                <w:ilvl w:val="0"/>
                <w:numId w:val="24"/>
              </w:numPr>
              <w:spacing w:before="240"/>
              <w:cnfStyle w:val="000000000000"/>
            </w:pPr>
            <w:r w:rsidRPr="008C35E4">
              <w:t>W</w:t>
            </w:r>
            <w:r w:rsidR="00EA7024" w:rsidRPr="008C35E4">
              <w:t>ider use of UN REDD Programme knowledge and lessons learnt to enable more effective support at the country level</w:t>
            </w:r>
            <w:r w:rsidRPr="008C35E4">
              <w:t xml:space="preserve">; </w:t>
            </w:r>
            <w:r w:rsidR="00B61CB3" w:rsidRPr="008C35E4">
              <w:t xml:space="preserve">and </w:t>
            </w:r>
          </w:p>
          <w:p w:rsidR="0092010E" w:rsidRPr="00213A44" w:rsidRDefault="00A15EC0" w:rsidP="00E9500B">
            <w:pPr>
              <w:pStyle w:val="ListParagraph"/>
              <w:numPr>
                <w:ilvl w:val="0"/>
                <w:numId w:val="23"/>
              </w:numPr>
              <w:spacing w:before="240" w:line="276" w:lineRule="auto"/>
              <w:cnfStyle w:val="000000000000"/>
            </w:pPr>
            <w:r w:rsidRPr="008C35E4">
              <w:t>B</w:t>
            </w:r>
            <w:r w:rsidR="00EA7024" w:rsidRPr="008C35E4">
              <w:t>etter sequencing for the activities to be supported, based upon existing capacities and looking for strengthening these capacities progressively.</w:t>
            </w:r>
          </w:p>
        </w:tc>
      </w:tr>
      <w:tr w:rsidR="0092010E" w:rsidTr="00EA7024">
        <w:trPr>
          <w:cnfStyle w:val="000000100000"/>
          <w:trHeight w:val="619"/>
        </w:trPr>
        <w:tc>
          <w:tcPr>
            <w:cnfStyle w:val="001000000000"/>
            <w:tcW w:w="2518" w:type="dxa"/>
          </w:tcPr>
          <w:p w:rsidR="0092010E" w:rsidRPr="00213A44" w:rsidRDefault="0092010E" w:rsidP="00EA7024">
            <w:pPr>
              <w:spacing w:before="240"/>
              <w:rPr>
                <w:sz w:val="24"/>
                <w:szCs w:val="24"/>
              </w:rPr>
            </w:pPr>
            <w:r w:rsidRPr="00213A44">
              <w:rPr>
                <w:sz w:val="24"/>
                <w:szCs w:val="24"/>
              </w:rPr>
              <w:t>Level of intervention</w:t>
            </w:r>
          </w:p>
        </w:tc>
        <w:tc>
          <w:tcPr>
            <w:tcW w:w="7088" w:type="dxa"/>
            <w:shd w:val="clear" w:color="auto" w:fill="DBE5F1" w:themeFill="accent1" w:themeFillTint="33"/>
          </w:tcPr>
          <w:p w:rsidR="0098675D" w:rsidRPr="00213A44" w:rsidRDefault="00EA7024" w:rsidP="00213A44">
            <w:pPr>
              <w:spacing w:before="240" w:line="276" w:lineRule="auto"/>
              <w:cnfStyle w:val="000000100000"/>
            </w:pPr>
            <w:r w:rsidRPr="00213A44">
              <w:t>National level</w:t>
            </w:r>
          </w:p>
        </w:tc>
      </w:tr>
      <w:tr w:rsidR="0092010E" w:rsidTr="00EA7024">
        <w:trPr>
          <w:trHeight w:val="1690"/>
        </w:trPr>
        <w:tc>
          <w:tcPr>
            <w:cnfStyle w:val="001000000000"/>
            <w:tcW w:w="2518" w:type="dxa"/>
          </w:tcPr>
          <w:p w:rsidR="0092010E" w:rsidRPr="00213A44" w:rsidRDefault="0036590B" w:rsidP="00EA7024">
            <w:pPr>
              <w:spacing w:before="240"/>
              <w:rPr>
                <w:sz w:val="24"/>
                <w:szCs w:val="24"/>
              </w:rPr>
            </w:pPr>
            <w:r w:rsidRPr="00213A44">
              <w:rPr>
                <w:sz w:val="24"/>
                <w:szCs w:val="24"/>
              </w:rPr>
              <w:t>Related work a</w:t>
            </w:r>
            <w:r w:rsidR="0092010E" w:rsidRPr="00213A44">
              <w:rPr>
                <w:sz w:val="24"/>
                <w:szCs w:val="24"/>
              </w:rPr>
              <w:t xml:space="preserve">rea, as defined in the </w:t>
            </w:r>
            <w:hyperlink r:id="rId9" w:history="1">
              <w:r w:rsidR="0092010E" w:rsidRPr="00213A44">
                <w:rPr>
                  <w:rStyle w:val="Hyperlink"/>
                  <w:bCs w:val="0"/>
                  <w:color w:val="FFFFFF" w:themeColor="background1"/>
                  <w:sz w:val="24"/>
                  <w:szCs w:val="24"/>
                </w:rPr>
                <w:t>UN-REDD Programme Strategy</w:t>
              </w:r>
            </w:hyperlink>
            <w:r w:rsidRPr="00213A44">
              <w:rPr>
                <w:rStyle w:val="FootnoteReference"/>
                <w:sz w:val="24"/>
                <w:szCs w:val="24"/>
              </w:rPr>
              <w:footnoteReference w:id="1"/>
            </w:r>
          </w:p>
        </w:tc>
        <w:tc>
          <w:tcPr>
            <w:tcW w:w="7088" w:type="dxa"/>
            <w:shd w:val="clear" w:color="auto" w:fill="DBE5F1" w:themeFill="accent1" w:themeFillTint="33"/>
          </w:tcPr>
          <w:p w:rsidR="00EA7024" w:rsidRPr="00213A44" w:rsidRDefault="00EA7024" w:rsidP="00213A44">
            <w:pPr>
              <w:spacing w:before="240" w:line="276" w:lineRule="auto"/>
              <w:cnfStyle w:val="000000000000"/>
            </w:pPr>
            <w:r w:rsidRPr="00213A44">
              <w:t>All</w:t>
            </w:r>
          </w:p>
          <w:p w:rsidR="0098675D" w:rsidRPr="00213A44" w:rsidRDefault="00EA7024" w:rsidP="00213A44">
            <w:pPr>
              <w:spacing w:before="240" w:line="276" w:lineRule="auto"/>
              <w:cnfStyle w:val="000000000000"/>
            </w:pPr>
            <w:r w:rsidRPr="00213A44">
              <w:t>The assessments relate to needs across the Outcomes 1-6 of the Support to National REDD+ Action: Global Programme Framework 2011-2015 (SNA). The concept is overall organised under the SNA Outcome 8</w:t>
            </w:r>
            <w:r w:rsidRPr="00213A44">
              <w:rPr>
                <w:rStyle w:val="FootnoteReference"/>
              </w:rPr>
              <w:footnoteReference w:id="2"/>
            </w:r>
            <w:r w:rsidRPr="00213A44">
              <w:t>.</w:t>
            </w:r>
          </w:p>
        </w:tc>
      </w:tr>
      <w:tr w:rsidR="0092010E" w:rsidTr="00EA7024">
        <w:trPr>
          <w:cnfStyle w:val="000000100000"/>
          <w:trHeight w:val="601"/>
        </w:trPr>
        <w:tc>
          <w:tcPr>
            <w:cnfStyle w:val="001000000000"/>
            <w:tcW w:w="2518" w:type="dxa"/>
          </w:tcPr>
          <w:p w:rsidR="0092010E" w:rsidRPr="00213A44" w:rsidRDefault="00EB7A93" w:rsidP="00EA7024">
            <w:pPr>
              <w:spacing w:before="240"/>
              <w:rPr>
                <w:sz w:val="24"/>
                <w:szCs w:val="24"/>
              </w:rPr>
            </w:pPr>
            <w:r w:rsidRPr="00213A44">
              <w:rPr>
                <w:sz w:val="24"/>
                <w:szCs w:val="24"/>
              </w:rPr>
              <w:t>Total concept d</w:t>
            </w:r>
            <w:r w:rsidR="0092010E" w:rsidRPr="00213A44">
              <w:rPr>
                <w:sz w:val="24"/>
                <w:szCs w:val="24"/>
              </w:rPr>
              <w:t>uration</w:t>
            </w:r>
          </w:p>
        </w:tc>
        <w:tc>
          <w:tcPr>
            <w:tcW w:w="7088" w:type="dxa"/>
            <w:shd w:val="clear" w:color="auto" w:fill="DBE5F1" w:themeFill="accent1" w:themeFillTint="33"/>
          </w:tcPr>
          <w:p w:rsidR="0098675D" w:rsidRPr="00213A44" w:rsidRDefault="00EB7A93" w:rsidP="00213A44">
            <w:pPr>
              <w:spacing w:before="240" w:line="276" w:lineRule="auto"/>
              <w:cnfStyle w:val="000000100000"/>
            </w:pPr>
            <w:r w:rsidRPr="00213A44">
              <w:t>1 January 2014</w:t>
            </w:r>
            <w:r w:rsidR="00EA7024" w:rsidRPr="00213A44">
              <w:t xml:space="preserve"> - 31 December 2015 (24 months)</w:t>
            </w:r>
          </w:p>
        </w:tc>
      </w:tr>
      <w:tr w:rsidR="0092010E" w:rsidTr="00EA7024">
        <w:trPr>
          <w:trHeight w:val="610"/>
        </w:trPr>
        <w:tc>
          <w:tcPr>
            <w:cnfStyle w:val="001000000000"/>
            <w:tcW w:w="2518" w:type="dxa"/>
          </w:tcPr>
          <w:p w:rsidR="0092010E" w:rsidRPr="00213A44" w:rsidRDefault="00EB7A93" w:rsidP="00EA7024">
            <w:pPr>
              <w:spacing w:before="240"/>
              <w:rPr>
                <w:sz w:val="24"/>
                <w:szCs w:val="24"/>
              </w:rPr>
            </w:pPr>
            <w:r w:rsidRPr="00213A44">
              <w:rPr>
                <w:sz w:val="24"/>
                <w:szCs w:val="24"/>
              </w:rPr>
              <w:t>Total concept amount</w:t>
            </w:r>
          </w:p>
        </w:tc>
        <w:tc>
          <w:tcPr>
            <w:tcW w:w="7088" w:type="dxa"/>
            <w:shd w:val="clear" w:color="auto" w:fill="DBE5F1" w:themeFill="accent1" w:themeFillTint="33"/>
          </w:tcPr>
          <w:p w:rsidR="0098675D" w:rsidRPr="00213A44" w:rsidRDefault="00EA7024" w:rsidP="00213A44">
            <w:pPr>
              <w:spacing w:before="240" w:line="276" w:lineRule="auto"/>
              <w:cnfStyle w:val="000000000000"/>
            </w:pPr>
            <w:r w:rsidRPr="00213A44">
              <w:t>US$ 2,675,000</w:t>
            </w:r>
            <w:r w:rsidRPr="00213A44">
              <w:rPr>
                <w:rStyle w:val="FootnoteReference"/>
              </w:rPr>
              <w:footnoteReference w:id="3"/>
            </w:r>
          </w:p>
        </w:tc>
      </w:tr>
      <w:tr w:rsidR="00EB7A93" w:rsidTr="00EA7024">
        <w:trPr>
          <w:cnfStyle w:val="000000100000"/>
          <w:trHeight w:val="709"/>
        </w:trPr>
        <w:tc>
          <w:tcPr>
            <w:cnfStyle w:val="001000000000"/>
            <w:tcW w:w="2518" w:type="dxa"/>
          </w:tcPr>
          <w:p w:rsidR="00EB7A93" w:rsidRPr="00213A44" w:rsidRDefault="00EB7A93" w:rsidP="00EA7024">
            <w:pPr>
              <w:spacing w:before="240"/>
              <w:rPr>
                <w:sz w:val="24"/>
                <w:szCs w:val="24"/>
              </w:rPr>
            </w:pPr>
            <w:r w:rsidRPr="00213A44">
              <w:rPr>
                <w:sz w:val="24"/>
                <w:szCs w:val="24"/>
              </w:rPr>
              <w:t xml:space="preserve">Total amount requested </w:t>
            </w:r>
          </w:p>
        </w:tc>
        <w:tc>
          <w:tcPr>
            <w:tcW w:w="7088" w:type="dxa"/>
            <w:shd w:val="clear" w:color="auto" w:fill="DBE5F1" w:themeFill="accent1" w:themeFillTint="33"/>
          </w:tcPr>
          <w:p w:rsidR="00EB7A93" w:rsidRPr="00213A44" w:rsidRDefault="00EA7024" w:rsidP="00213A44">
            <w:pPr>
              <w:spacing w:before="240" w:line="276" w:lineRule="auto"/>
              <w:cnfStyle w:val="000000100000"/>
            </w:pPr>
            <w:r w:rsidRPr="00213A44">
              <w:t>US$ 1,284,000</w:t>
            </w:r>
            <w:r w:rsidRPr="00213A44">
              <w:rPr>
                <w:rStyle w:val="FootnoteReference"/>
              </w:rPr>
              <w:footnoteReference w:id="4"/>
            </w:r>
            <w:r w:rsidRPr="00213A44">
              <w:t xml:space="preserve"> until 31 December 2014</w:t>
            </w:r>
          </w:p>
        </w:tc>
      </w:tr>
    </w:tbl>
    <w:p w:rsidR="00EA7024" w:rsidRDefault="00EA7024">
      <w:r>
        <w:br w:type="page"/>
      </w:r>
    </w:p>
    <w:tbl>
      <w:tblPr>
        <w:tblStyle w:val="MediumGrid3-Accent1"/>
        <w:tblW w:w="0" w:type="auto"/>
        <w:tblLook w:val="04A0"/>
      </w:tblPr>
      <w:tblGrid>
        <w:gridCol w:w="9576"/>
      </w:tblGrid>
      <w:tr w:rsidR="0092010E" w:rsidTr="0092010E">
        <w:trPr>
          <w:cnfStyle w:val="100000000000"/>
        </w:trPr>
        <w:tc>
          <w:tcPr>
            <w:cnfStyle w:val="001000000000"/>
            <w:tcW w:w="9576" w:type="dxa"/>
          </w:tcPr>
          <w:p w:rsidR="0092010E" w:rsidRPr="006F294D" w:rsidRDefault="0092010E">
            <w:pPr>
              <w:rPr>
                <w:sz w:val="24"/>
                <w:szCs w:val="24"/>
              </w:rPr>
            </w:pPr>
            <w:r w:rsidRPr="006F294D">
              <w:rPr>
                <w:sz w:val="24"/>
                <w:szCs w:val="24"/>
              </w:rPr>
              <w:lastRenderedPageBreak/>
              <w:t>II. Background</w:t>
            </w:r>
          </w:p>
        </w:tc>
      </w:tr>
      <w:tr w:rsidR="0092010E" w:rsidTr="00CA66B5">
        <w:trPr>
          <w:cnfStyle w:val="000000100000"/>
          <w:trHeight w:val="2820"/>
        </w:trPr>
        <w:tc>
          <w:tcPr>
            <w:cnfStyle w:val="001000000000"/>
            <w:tcW w:w="9576" w:type="dxa"/>
            <w:shd w:val="clear" w:color="auto" w:fill="DBE5F1" w:themeFill="accent1" w:themeFillTint="33"/>
          </w:tcPr>
          <w:p w:rsidR="005E1A58" w:rsidRPr="003164EA" w:rsidRDefault="00E9500B" w:rsidP="005E1A58">
            <w:pPr>
              <w:spacing w:before="240" w:line="276" w:lineRule="auto"/>
              <w:rPr>
                <w:b w:val="0"/>
                <w:color w:val="auto"/>
              </w:rPr>
            </w:pPr>
            <w:r>
              <w:rPr>
                <w:b w:val="0"/>
                <w:color w:val="auto"/>
              </w:rPr>
              <w:t>Based on</w:t>
            </w:r>
            <w:r w:rsidR="005E1A58" w:rsidRPr="00E9500B">
              <w:rPr>
                <w:b w:val="0"/>
                <w:color w:val="auto"/>
              </w:rPr>
              <w:t xml:space="preserve"> lessons learned from the development and implementation of the UN REDD National Programmes, the joint FCPF and UN REDD Programme Country Needs Assessment</w:t>
            </w:r>
            <w:r w:rsidR="005E1A58" w:rsidRPr="00E9500B">
              <w:rPr>
                <w:rStyle w:val="FootnoteReference"/>
                <w:b w:val="0"/>
                <w:color w:val="auto"/>
              </w:rPr>
              <w:footnoteReference w:id="5"/>
            </w:r>
            <w:r w:rsidR="005E1A58" w:rsidRPr="00E9500B">
              <w:rPr>
                <w:b w:val="0"/>
                <w:color w:val="auto"/>
              </w:rPr>
              <w:t xml:space="preserve"> , and the comple</w:t>
            </w:r>
            <w:r w:rsidR="00371682">
              <w:rPr>
                <w:b w:val="0"/>
                <w:color w:val="auto"/>
              </w:rPr>
              <w:t>x REDD+ readiness landscape of</w:t>
            </w:r>
            <w:r w:rsidR="005E1A58" w:rsidRPr="00E9500B">
              <w:rPr>
                <w:b w:val="0"/>
                <w:color w:val="auto"/>
              </w:rPr>
              <w:t xml:space="preserve"> multiple initiatives and demonstration projects</w:t>
            </w:r>
            <w:r>
              <w:rPr>
                <w:b w:val="0"/>
                <w:color w:val="auto"/>
              </w:rPr>
              <w:t xml:space="preserve"> occurring in parallel</w:t>
            </w:r>
            <w:r w:rsidR="005E1A58" w:rsidRPr="00E9500B">
              <w:rPr>
                <w:b w:val="0"/>
                <w:color w:val="auto"/>
              </w:rPr>
              <w:t xml:space="preserve"> </w:t>
            </w:r>
            <w:r>
              <w:rPr>
                <w:b w:val="0"/>
                <w:color w:val="auto"/>
              </w:rPr>
              <w:t>in many</w:t>
            </w:r>
            <w:r w:rsidR="005E1A58" w:rsidRPr="00E9500B">
              <w:rPr>
                <w:b w:val="0"/>
                <w:color w:val="auto"/>
              </w:rPr>
              <w:t xml:space="preserve"> countries, </w:t>
            </w:r>
            <w:r>
              <w:rPr>
                <w:b w:val="0"/>
                <w:color w:val="auto"/>
              </w:rPr>
              <w:t xml:space="preserve">there is a </w:t>
            </w:r>
            <w:r w:rsidR="005E1A58" w:rsidRPr="00E9500B">
              <w:rPr>
                <w:b w:val="0"/>
                <w:color w:val="auto"/>
              </w:rPr>
              <w:t>call for more tailored and coordinated country support.</w:t>
            </w:r>
          </w:p>
          <w:p w:rsidR="003164EA" w:rsidRPr="003164EA" w:rsidRDefault="003164EA" w:rsidP="00213A44">
            <w:pPr>
              <w:spacing w:before="240" w:line="276" w:lineRule="auto"/>
              <w:rPr>
                <w:b w:val="0"/>
                <w:color w:val="auto"/>
              </w:rPr>
            </w:pPr>
            <w:r w:rsidRPr="003164EA">
              <w:rPr>
                <w:b w:val="0"/>
                <w:color w:val="auto"/>
              </w:rPr>
              <w:t>The UN-REDD Programme has been working with direct support to countries through the National Programm</w:t>
            </w:r>
            <w:r>
              <w:rPr>
                <w:b w:val="0"/>
                <w:color w:val="auto"/>
              </w:rPr>
              <w:t>es and through targeted support</w:t>
            </w:r>
            <w:r>
              <w:rPr>
                <w:rStyle w:val="FootnoteReference"/>
                <w:b w:val="0"/>
                <w:color w:val="auto"/>
              </w:rPr>
              <w:footnoteReference w:id="6"/>
            </w:r>
            <w:r w:rsidRPr="003164EA">
              <w:rPr>
                <w:b w:val="0"/>
                <w:color w:val="auto"/>
              </w:rPr>
              <w:t>. There is a growing perception that a new form of support is required that is tailor made and demand driven. This will allow countries to better identify their particular needs, and the UN-REDD Programme to provide stronger backst</w:t>
            </w:r>
            <w:r w:rsidR="00213A44">
              <w:rPr>
                <w:b w:val="0"/>
                <w:color w:val="auto"/>
              </w:rPr>
              <w:t>opping based on lessons learnt.</w:t>
            </w:r>
          </w:p>
          <w:p w:rsidR="003164EA" w:rsidRPr="003164EA" w:rsidRDefault="003164EA" w:rsidP="00213A44">
            <w:pPr>
              <w:spacing w:before="240" w:line="276" w:lineRule="auto"/>
              <w:rPr>
                <w:b w:val="0"/>
                <w:color w:val="auto"/>
              </w:rPr>
            </w:pPr>
            <w:r w:rsidRPr="003164EA">
              <w:rPr>
                <w:b w:val="0"/>
                <w:color w:val="auto"/>
              </w:rPr>
              <w:t xml:space="preserve">Providing an even more comprehensive approach than the current targeted support and other backstopping, the proposed approach looks for innovative ways to better identify and address the country needs at the different stages of the countries’ readiness process. This is expected to result in effective and timely delivered support provided by the UN-REDD Programme, complementing the current National Programmes. The lessons learned from targeted support activities since March 2012 will also be useful when further developing a systematic approach to country support and innovative REDD+ approaches. The methodology and the components used for articulating needs in the Country Needs Assessment will be the basis for the methodology of the proposed needs assessments. </w:t>
            </w:r>
          </w:p>
          <w:p w:rsidR="003164EA" w:rsidRPr="003164EA" w:rsidRDefault="003164EA" w:rsidP="00213A44">
            <w:pPr>
              <w:spacing w:before="240" w:line="276" w:lineRule="auto"/>
              <w:rPr>
                <w:b w:val="0"/>
                <w:color w:val="auto"/>
              </w:rPr>
            </w:pPr>
            <w:r w:rsidRPr="003164EA">
              <w:rPr>
                <w:b w:val="0"/>
                <w:color w:val="auto"/>
              </w:rPr>
              <w:t xml:space="preserve">To be able to assist countries to progress effectively through their readiness phase, it is essential to focus on strengthening country capacities through addressing the emerging country needs, such as coordination, legal frameworks, cross-sectoral linkages to address drivers of deforestation (especially other sectors like agriculture), and financial support to REDD+ actions in the different phases. Taken that the assessments will be undertaken with all relevant stakeholders involved, the assessments will allow for more in-depth understanding of the specificities of individual countries in order to provide more effective support by the UN-REDD Programme. One important lesson learned from the past activities is that the needs assessment and the planning process should seek to strengthen country leadership and collaboration between the country counterparts and the UN-REDD Programme Participating UN agencies of FAO, UNDP and UNEP. In a recent REDD+ Partnership meeting held in Palangka Raya, Indonesia in October 2013, Partner countries discussed whether country needs assessments should be undertaken. After considering the approach and method used by the UN-REDD and FCPF Global Assessments, Partner countries agreed that this would be an important activity for some countries, and discussed the objectives, requirements and challenges that would need to be addressed in conducting CNAs.    Countries, especially those in the formative stages of readiness, agreed that there was a need for CNAs, driven by national REDD+ actors, to provide a clear idea of how capacity building and support </w:t>
            </w:r>
            <w:r w:rsidRPr="003164EA">
              <w:rPr>
                <w:b w:val="0"/>
                <w:color w:val="auto"/>
              </w:rPr>
              <w:lastRenderedPageBreak/>
              <w:t>to policy and action could unfold.  Depending on what the stage, scope and focus, countries can conduct CNAs for technical and financial requirements and to set priorities in a participatory manner. Partners also noted how CNAs could be used to monitor progress for countries that were now bridging onto Phase 2 or could be targeted to specific themes within the readiness proce</w:t>
            </w:r>
            <w:r w:rsidR="00213A44">
              <w:rPr>
                <w:b w:val="0"/>
                <w:color w:val="auto"/>
              </w:rPr>
              <w:t>ss.</w:t>
            </w:r>
          </w:p>
          <w:p w:rsidR="003F0A5B" w:rsidRPr="003164EA" w:rsidRDefault="003164EA" w:rsidP="00213A44">
            <w:pPr>
              <w:spacing w:before="240" w:line="276" w:lineRule="auto"/>
              <w:jc w:val="both"/>
              <w:rPr>
                <w:b w:val="0"/>
                <w:color w:val="auto"/>
              </w:rPr>
            </w:pPr>
            <w:r w:rsidRPr="003164EA">
              <w:rPr>
                <w:b w:val="0"/>
                <w:color w:val="auto"/>
              </w:rPr>
              <w:t>It will be important to support countries to connect to knowledge networks to access and share experience and knowledge, particularly with other countries, but also across regions, globally and with other organizations active in the REDD+ field who may have relevant knowledge and</w:t>
            </w:r>
            <w:r>
              <w:rPr>
                <w:b w:val="0"/>
                <w:color w:val="auto"/>
              </w:rPr>
              <w:t xml:space="preserve"> experience to meet their needs</w:t>
            </w:r>
            <w:r w:rsidR="003F0A5B" w:rsidRPr="003F0A5B">
              <w:rPr>
                <w:b w:val="0"/>
                <w:color w:val="000000" w:themeColor="text1"/>
              </w:rPr>
              <w:t>.</w:t>
            </w:r>
          </w:p>
        </w:tc>
      </w:tr>
    </w:tbl>
    <w:p w:rsidR="0092010E" w:rsidRDefault="0092010E" w:rsidP="00213A44">
      <w:pPr>
        <w:spacing w:line="240" w:lineRule="auto"/>
      </w:pPr>
    </w:p>
    <w:tbl>
      <w:tblPr>
        <w:tblStyle w:val="MediumGrid3-Accent1"/>
        <w:tblW w:w="0" w:type="auto"/>
        <w:tblLook w:val="04A0"/>
      </w:tblPr>
      <w:tblGrid>
        <w:gridCol w:w="9576"/>
      </w:tblGrid>
      <w:tr w:rsidR="0092010E" w:rsidTr="005338DE">
        <w:trPr>
          <w:cnfStyle w:val="100000000000"/>
        </w:trPr>
        <w:tc>
          <w:tcPr>
            <w:cnfStyle w:val="001000000000"/>
            <w:tcW w:w="9576" w:type="dxa"/>
          </w:tcPr>
          <w:p w:rsidR="0092010E" w:rsidRPr="006F294D" w:rsidRDefault="0092010E" w:rsidP="005338DE">
            <w:pPr>
              <w:rPr>
                <w:sz w:val="24"/>
                <w:szCs w:val="24"/>
              </w:rPr>
            </w:pPr>
            <w:r w:rsidRPr="006F294D">
              <w:rPr>
                <w:sz w:val="24"/>
                <w:szCs w:val="24"/>
              </w:rPr>
              <w:t>III. Results framework and theory of change</w:t>
            </w:r>
          </w:p>
        </w:tc>
      </w:tr>
      <w:tr w:rsidR="0092010E" w:rsidTr="00EC7069">
        <w:trPr>
          <w:cnfStyle w:val="000000100000"/>
          <w:trHeight w:val="3540"/>
        </w:trPr>
        <w:tc>
          <w:tcPr>
            <w:cnfStyle w:val="001000000000"/>
            <w:tcW w:w="9576" w:type="dxa"/>
            <w:shd w:val="clear" w:color="auto" w:fill="DBE5F1" w:themeFill="accent1" w:themeFillTint="33"/>
          </w:tcPr>
          <w:p w:rsidR="003164EA" w:rsidRPr="003164EA" w:rsidRDefault="003164EA" w:rsidP="00213A44">
            <w:pPr>
              <w:spacing w:before="240" w:line="276" w:lineRule="auto"/>
              <w:rPr>
                <w:b w:val="0"/>
                <w:color w:val="auto"/>
              </w:rPr>
            </w:pPr>
            <w:r w:rsidRPr="003164EA">
              <w:rPr>
                <w:b w:val="0"/>
                <w:color w:val="auto"/>
              </w:rPr>
              <w:t>Among the lessons learnt during the last years REDD Readiness implementation in the ground, the need for tailored country approaches given the very different national circumstances and starting points when decided to engage in REDD readiness is being is being widely acknowledged by all actors, in parti</w:t>
            </w:r>
            <w:r>
              <w:rPr>
                <w:b w:val="0"/>
                <w:color w:val="auto"/>
              </w:rPr>
              <w:t>cular by the UN REDD Programme.</w:t>
            </w:r>
          </w:p>
          <w:p w:rsidR="003164EA" w:rsidRPr="003164EA" w:rsidRDefault="003164EA" w:rsidP="00213A44">
            <w:pPr>
              <w:spacing w:before="240" w:line="276" w:lineRule="auto"/>
              <w:rPr>
                <w:b w:val="0"/>
                <w:color w:val="auto"/>
              </w:rPr>
            </w:pPr>
            <w:r w:rsidRPr="003164EA">
              <w:rPr>
                <w:b w:val="0"/>
                <w:color w:val="auto"/>
              </w:rPr>
              <w:t>It is also being a challenge to initiate National Programmes or activities in the countries, although R-PP processes is being useful for developing the  National Programmes, more realistically plan activities in time in the countries in many cases due to lack of enoug</w:t>
            </w:r>
            <w:r w:rsidR="00371682">
              <w:rPr>
                <w:b w:val="0"/>
                <w:color w:val="auto"/>
              </w:rPr>
              <w:t>h understanding of country</w:t>
            </w:r>
            <w:r w:rsidRPr="003164EA">
              <w:rPr>
                <w:b w:val="0"/>
                <w:color w:val="auto"/>
              </w:rPr>
              <w:t xml:space="preserve"> needs. Helping countries to assess their needs while engaging in REDD+ activities in addition to the R-PP process if they want to get support though National Programmes, or offering the possibility of requesting more adequate to their need Target Support can be address by offering the possibility for request</w:t>
            </w:r>
            <w:r>
              <w:rPr>
                <w:b w:val="0"/>
                <w:color w:val="auto"/>
              </w:rPr>
              <w:t>ing the Programme to help them.</w:t>
            </w:r>
          </w:p>
          <w:p w:rsidR="00EC7069" w:rsidRPr="003164EA" w:rsidRDefault="00EC7069" w:rsidP="00EC7069">
            <w:pPr>
              <w:spacing w:before="240" w:line="276" w:lineRule="auto"/>
              <w:rPr>
                <w:b w:val="0"/>
                <w:color w:val="auto"/>
              </w:rPr>
            </w:pPr>
            <w:r w:rsidRPr="003164EA">
              <w:rPr>
                <w:b w:val="0"/>
                <w:color w:val="auto"/>
              </w:rPr>
              <w:t xml:space="preserve">The </w:t>
            </w:r>
            <w:r>
              <w:rPr>
                <w:b w:val="0"/>
                <w:color w:val="auto"/>
              </w:rPr>
              <w:t xml:space="preserve">SNA </w:t>
            </w:r>
            <w:r w:rsidRPr="003164EA">
              <w:rPr>
                <w:b w:val="0"/>
                <w:color w:val="auto"/>
              </w:rPr>
              <w:t xml:space="preserve">Outcomes are: </w:t>
            </w:r>
          </w:p>
          <w:p w:rsidR="00EC7069" w:rsidRPr="003164EA" w:rsidRDefault="00EC7069" w:rsidP="00EC7069">
            <w:pPr>
              <w:pStyle w:val="ListParagraph"/>
              <w:numPr>
                <w:ilvl w:val="0"/>
                <w:numId w:val="18"/>
              </w:numPr>
              <w:spacing w:line="276" w:lineRule="auto"/>
              <w:rPr>
                <w:b w:val="0"/>
                <w:color w:val="auto"/>
              </w:rPr>
            </w:pPr>
            <w:r w:rsidRPr="003164EA">
              <w:rPr>
                <w:b w:val="0"/>
                <w:color w:val="auto"/>
              </w:rPr>
              <w:t>REDD+ countries have systems and capacities to develop and implement MRV and monitoring</w:t>
            </w:r>
          </w:p>
          <w:p w:rsidR="00EC7069" w:rsidRPr="003164EA" w:rsidRDefault="00EC7069" w:rsidP="00EC7069">
            <w:pPr>
              <w:pStyle w:val="ListParagraph"/>
              <w:numPr>
                <w:ilvl w:val="0"/>
                <w:numId w:val="18"/>
              </w:numPr>
              <w:spacing w:before="240" w:line="276" w:lineRule="auto"/>
              <w:rPr>
                <w:b w:val="0"/>
                <w:color w:val="auto"/>
              </w:rPr>
            </w:pPr>
            <w:r w:rsidRPr="003164EA">
              <w:rPr>
                <w:b w:val="0"/>
                <w:color w:val="auto"/>
              </w:rPr>
              <w:t xml:space="preserve">Credible, inclusive national governance systems are developed for REDD+ implementation </w:t>
            </w:r>
          </w:p>
          <w:p w:rsidR="00EC7069" w:rsidRPr="003164EA" w:rsidRDefault="00EC7069" w:rsidP="00EC7069">
            <w:pPr>
              <w:pStyle w:val="ListParagraph"/>
              <w:numPr>
                <w:ilvl w:val="0"/>
                <w:numId w:val="19"/>
              </w:numPr>
              <w:spacing w:before="240" w:line="276" w:lineRule="auto"/>
              <w:rPr>
                <w:b w:val="0"/>
                <w:color w:val="auto"/>
              </w:rPr>
            </w:pPr>
            <w:r w:rsidRPr="003164EA">
              <w:rPr>
                <w:b w:val="0"/>
                <w:color w:val="auto"/>
              </w:rPr>
              <w:t>Indigenous Peoples, local communities, civil society organizations and other stakeholders participate effectively in national and international REDD+ decision making, strategy development and implementation</w:t>
            </w:r>
          </w:p>
          <w:p w:rsidR="00EC7069" w:rsidRDefault="00EC7069" w:rsidP="00EC7069">
            <w:pPr>
              <w:pStyle w:val="ListParagraph"/>
              <w:numPr>
                <w:ilvl w:val="0"/>
                <w:numId w:val="19"/>
              </w:numPr>
              <w:spacing w:before="240" w:line="276" w:lineRule="auto"/>
              <w:rPr>
                <w:b w:val="0"/>
                <w:color w:val="auto"/>
              </w:rPr>
            </w:pPr>
            <w:r w:rsidRPr="003164EA">
              <w:rPr>
                <w:b w:val="0"/>
                <w:color w:val="auto"/>
              </w:rPr>
              <w:t>Safeguards are addressed and respected and multiple benefits of REDD+ are realized.</w:t>
            </w:r>
          </w:p>
          <w:p w:rsidR="00EC7069" w:rsidRPr="00EC7069" w:rsidRDefault="00EC7069" w:rsidP="00EC7069">
            <w:pPr>
              <w:pStyle w:val="ListParagraph"/>
              <w:numPr>
                <w:ilvl w:val="0"/>
                <w:numId w:val="19"/>
              </w:numPr>
              <w:spacing w:before="240" w:line="276" w:lineRule="auto"/>
              <w:rPr>
                <w:b w:val="0"/>
                <w:color w:val="auto"/>
              </w:rPr>
            </w:pPr>
            <w:r w:rsidRPr="00EC7069">
              <w:rPr>
                <w:b w:val="0"/>
                <w:color w:val="auto"/>
              </w:rPr>
              <w:t>Green economy transformation and REDD+ strategies and investments are mutually reinforcing.</w:t>
            </w:r>
          </w:p>
          <w:p w:rsidR="00EC7069" w:rsidRDefault="003164EA" w:rsidP="00EC7069">
            <w:pPr>
              <w:spacing w:before="240" w:line="276" w:lineRule="auto"/>
              <w:rPr>
                <w:b w:val="0"/>
                <w:color w:val="auto"/>
              </w:rPr>
            </w:pPr>
            <w:r w:rsidRPr="003164EA">
              <w:rPr>
                <w:b w:val="0"/>
                <w:color w:val="auto"/>
              </w:rPr>
              <w:t xml:space="preserve">This </w:t>
            </w:r>
            <w:r w:rsidR="00EC7069">
              <w:rPr>
                <w:b w:val="0"/>
                <w:color w:val="auto"/>
              </w:rPr>
              <w:t xml:space="preserve">concept </w:t>
            </w:r>
            <w:r w:rsidRPr="003164EA">
              <w:rPr>
                <w:b w:val="0"/>
                <w:color w:val="auto"/>
              </w:rPr>
              <w:t>therefore relates to all SNA Outcomes</w:t>
            </w:r>
            <w:r>
              <w:rPr>
                <w:rStyle w:val="FootnoteReference"/>
                <w:b w:val="0"/>
                <w:color w:val="auto"/>
              </w:rPr>
              <w:footnoteReference w:id="7"/>
            </w:r>
            <w:r w:rsidRPr="003164EA">
              <w:rPr>
                <w:b w:val="0"/>
                <w:color w:val="auto"/>
              </w:rPr>
              <w:t>, and can be considered as a cross cutting activity that will contribute to</w:t>
            </w:r>
            <w:r w:rsidR="00EC7069">
              <w:rPr>
                <w:b w:val="0"/>
                <w:color w:val="auto"/>
              </w:rPr>
              <w:t>:</w:t>
            </w:r>
          </w:p>
          <w:p w:rsidR="00EC7069" w:rsidRPr="00EC7069" w:rsidRDefault="00EC7069" w:rsidP="00EC7069">
            <w:pPr>
              <w:spacing w:before="240" w:line="276" w:lineRule="auto"/>
              <w:rPr>
                <w:b w:val="0"/>
                <w:color w:val="auto"/>
              </w:rPr>
            </w:pPr>
            <w:r w:rsidRPr="00EC7069">
              <w:rPr>
                <w:color w:val="auto"/>
              </w:rPr>
              <w:t>Expected Result 1</w:t>
            </w:r>
            <w:r w:rsidR="003164EA" w:rsidRPr="00EC7069">
              <w:rPr>
                <w:color w:val="auto"/>
              </w:rPr>
              <w:t>:</w:t>
            </w:r>
            <w:r w:rsidRPr="00EC7069">
              <w:rPr>
                <w:b w:val="0"/>
                <w:color w:val="auto"/>
              </w:rPr>
              <w:t>E</w:t>
            </w:r>
            <w:r w:rsidR="003164EA" w:rsidRPr="00EC7069">
              <w:rPr>
                <w:b w:val="0"/>
                <w:color w:val="auto"/>
              </w:rPr>
              <w:t>nhanced leadership by the countries towards more integrated and better coordinated programmes and readiness activities and results</w:t>
            </w:r>
          </w:p>
          <w:p w:rsidR="003164EA" w:rsidRDefault="00EC7069" w:rsidP="00EC7069">
            <w:pPr>
              <w:spacing w:before="240" w:line="276" w:lineRule="auto"/>
              <w:rPr>
                <w:b w:val="0"/>
                <w:color w:val="auto"/>
              </w:rPr>
            </w:pPr>
            <w:r w:rsidRPr="00EC7069">
              <w:rPr>
                <w:b w:val="0"/>
                <w:color w:val="auto"/>
              </w:rPr>
              <w:lastRenderedPageBreak/>
              <w:t>This result would enable</w:t>
            </w:r>
            <w:r>
              <w:rPr>
                <w:color w:val="auto"/>
              </w:rPr>
              <w:t xml:space="preserve"> </w:t>
            </w:r>
            <w:r>
              <w:rPr>
                <w:b w:val="0"/>
                <w:color w:val="auto"/>
              </w:rPr>
              <w:t>w</w:t>
            </w:r>
            <w:r w:rsidR="003164EA" w:rsidRPr="003164EA">
              <w:rPr>
                <w:b w:val="0"/>
                <w:color w:val="auto"/>
              </w:rPr>
              <w:t>ider use of UN REDD Programme knowledge and lessons learnt to enable more effective support at the country level, including better use of the knowledge products and services, and to connect in to knowledge networks, particularly with other countries working on REDD+ readiness and implementation</w:t>
            </w:r>
            <w:r>
              <w:rPr>
                <w:b w:val="0"/>
                <w:color w:val="auto"/>
              </w:rPr>
              <w:t>, and b</w:t>
            </w:r>
            <w:r w:rsidR="003164EA" w:rsidRPr="003164EA">
              <w:rPr>
                <w:b w:val="0"/>
                <w:color w:val="auto"/>
              </w:rPr>
              <w:t>etter sequencing for the activities to be supported, based upon existing capacities and aiming at strengthening these capacities progressively.</w:t>
            </w:r>
          </w:p>
          <w:p w:rsidR="00EC7069" w:rsidRPr="00240061" w:rsidRDefault="00EC7069" w:rsidP="00EC7069">
            <w:pPr>
              <w:spacing w:before="240" w:line="276" w:lineRule="auto"/>
              <w:jc w:val="both"/>
              <w:rPr>
                <w:color w:val="000000" w:themeColor="text1"/>
              </w:rPr>
            </w:pPr>
            <w:r w:rsidRPr="00240061">
              <w:rPr>
                <w:color w:val="000000" w:themeColor="text1"/>
              </w:rPr>
              <w:t>Indicative Activities</w:t>
            </w:r>
          </w:p>
          <w:p w:rsidR="00EC7069" w:rsidRPr="00EC7069" w:rsidRDefault="00EC7069" w:rsidP="00EC7069">
            <w:pPr>
              <w:pStyle w:val="ListParagraph"/>
              <w:numPr>
                <w:ilvl w:val="0"/>
                <w:numId w:val="21"/>
              </w:numPr>
              <w:rPr>
                <w:b w:val="0"/>
                <w:color w:val="auto"/>
              </w:rPr>
            </w:pPr>
            <w:r w:rsidRPr="00EC7069">
              <w:rPr>
                <w:b w:val="0"/>
                <w:color w:val="auto"/>
              </w:rPr>
              <w:t>Country needs assessment covering the areas of work under SNA Outcomes 1, 2, 4, 5 and 6 for 12 countries.</w:t>
            </w:r>
          </w:p>
          <w:p w:rsidR="008D79A2" w:rsidRPr="00EC7069" w:rsidRDefault="00EC7069" w:rsidP="00EC7069">
            <w:pPr>
              <w:pStyle w:val="ListParagraph"/>
              <w:numPr>
                <w:ilvl w:val="0"/>
                <w:numId w:val="21"/>
              </w:numPr>
              <w:spacing w:before="240"/>
              <w:rPr>
                <w:b w:val="0"/>
                <w:color w:val="auto"/>
              </w:rPr>
            </w:pPr>
            <w:r w:rsidRPr="00EC7069">
              <w:rPr>
                <w:b w:val="0"/>
                <w:color w:val="auto"/>
              </w:rPr>
              <w:t>Country needs assessment covering the areas of work under SNA Outcome 1, 2, 4, 5 and 6 for 13 countries</w:t>
            </w:r>
          </w:p>
        </w:tc>
      </w:tr>
    </w:tbl>
    <w:p w:rsidR="008D79A2" w:rsidRDefault="008D79A2" w:rsidP="008D79A2">
      <w:pPr>
        <w:spacing w:after="0"/>
      </w:pPr>
    </w:p>
    <w:tbl>
      <w:tblPr>
        <w:tblStyle w:val="MediumGrid3-Accent1"/>
        <w:tblW w:w="0" w:type="auto"/>
        <w:tblLook w:val="04A0"/>
      </w:tblPr>
      <w:tblGrid>
        <w:gridCol w:w="9576"/>
      </w:tblGrid>
      <w:tr w:rsidR="0092010E" w:rsidTr="008D79A2">
        <w:trPr>
          <w:cnfStyle w:val="100000000000"/>
          <w:trHeight w:val="515"/>
        </w:trPr>
        <w:tc>
          <w:tcPr>
            <w:cnfStyle w:val="001000000000"/>
            <w:tcW w:w="9576" w:type="dxa"/>
          </w:tcPr>
          <w:p w:rsidR="0092010E" w:rsidRPr="006F294D" w:rsidRDefault="0092010E" w:rsidP="005338DE">
            <w:pPr>
              <w:rPr>
                <w:sz w:val="24"/>
                <w:szCs w:val="24"/>
              </w:rPr>
            </w:pPr>
            <w:r w:rsidRPr="006F294D">
              <w:rPr>
                <w:sz w:val="24"/>
                <w:szCs w:val="24"/>
              </w:rPr>
              <w:t xml:space="preserve">IV. Management </w:t>
            </w:r>
            <w:r w:rsidR="006F294D" w:rsidRPr="006F294D">
              <w:rPr>
                <w:sz w:val="24"/>
                <w:szCs w:val="24"/>
              </w:rPr>
              <w:t>arrangements and partnerships</w:t>
            </w:r>
          </w:p>
        </w:tc>
      </w:tr>
      <w:tr w:rsidR="0092010E" w:rsidTr="00213A44">
        <w:trPr>
          <w:cnfStyle w:val="000000100000"/>
          <w:trHeight w:val="2595"/>
        </w:trPr>
        <w:tc>
          <w:tcPr>
            <w:cnfStyle w:val="001000000000"/>
            <w:tcW w:w="9576" w:type="dxa"/>
            <w:shd w:val="clear" w:color="auto" w:fill="DBE5F1" w:themeFill="accent1" w:themeFillTint="33"/>
          </w:tcPr>
          <w:p w:rsidR="008D79A2" w:rsidRPr="0098675D" w:rsidRDefault="003164EA" w:rsidP="00544691">
            <w:pPr>
              <w:spacing w:before="240" w:line="276" w:lineRule="auto"/>
              <w:rPr>
                <w:b w:val="0"/>
                <w:color w:val="auto"/>
              </w:rPr>
            </w:pPr>
            <w:r w:rsidRPr="003164EA">
              <w:rPr>
                <w:b w:val="0"/>
                <w:color w:val="auto"/>
              </w:rPr>
              <w:t>The country support through the proposed systematic approach could allow for grants of a maximum value of US$ 100,000 per needs assessment prior to provision of either a UN REDD Programme National Programme or targeted support if National Programmes are not in place) or in any other independent form as an associated activity to the SNA Programme. This should be a joint interagency activity with an overall pool of US$ 2.5 million for up to 25 grants. A UN-REDD Programme interagency committee will be established with the support of the regional teams of each agency. The management will in the context of the overall management arrangements of the SNA Programme</w:t>
            </w:r>
            <w:r>
              <w:rPr>
                <w:b w:val="0"/>
                <w:color w:val="auto"/>
              </w:rPr>
              <w:t>.</w:t>
            </w:r>
          </w:p>
        </w:tc>
      </w:tr>
    </w:tbl>
    <w:p w:rsidR="0092010E" w:rsidRDefault="0092010E" w:rsidP="008D79A2">
      <w:pPr>
        <w:spacing w:after="0"/>
      </w:pPr>
    </w:p>
    <w:tbl>
      <w:tblPr>
        <w:tblStyle w:val="MediumGrid3-Accent1"/>
        <w:tblW w:w="0" w:type="auto"/>
        <w:tblLook w:val="04A0"/>
      </w:tblPr>
      <w:tblGrid>
        <w:gridCol w:w="9576"/>
      </w:tblGrid>
      <w:tr w:rsidR="0092010E" w:rsidTr="005338DE">
        <w:trPr>
          <w:cnfStyle w:val="100000000000"/>
        </w:trPr>
        <w:tc>
          <w:tcPr>
            <w:cnfStyle w:val="001000000000"/>
            <w:tcW w:w="9576" w:type="dxa"/>
          </w:tcPr>
          <w:p w:rsidR="0092010E" w:rsidRPr="006F294D" w:rsidRDefault="0092010E" w:rsidP="005338DE">
            <w:pPr>
              <w:rPr>
                <w:sz w:val="24"/>
                <w:szCs w:val="24"/>
              </w:rPr>
            </w:pPr>
            <w:r w:rsidRPr="006F294D">
              <w:rPr>
                <w:sz w:val="24"/>
                <w:szCs w:val="24"/>
              </w:rPr>
              <w:t>V. Monitoring and Evaluation</w:t>
            </w:r>
          </w:p>
        </w:tc>
      </w:tr>
      <w:tr w:rsidR="0092010E" w:rsidTr="00213A44">
        <w:trPr>
          <w:cnfStyle w:val="000000100000"/>
          <w:trHeight w:val="3432"/>
        </w:trPr>
        <w:tc>
          <w:tcPr>
            <w:cnfStyle w:val="001000000000"/>
            <w:tcW w:w="9576" w:type="dxa"/>
            <w:shd w:val="clear" w:color="auto" w:fill="DBE5F1" w:themeFill="accent1" w:themeFillTint="33"/>
          </w:tcPr>
          <w:p w:rsidR="003164EA" w:rsidRPr="003164EA" w:rsidRDefault="003164EA" w:rsidP="00446744">
            <w:pPr>
              <w:spacing w:before="240" w:line="276" w:lineRule="auto"/>
              <w:rPr>
                <w:b w:val="0"/>
                <w:color w:val="auto"/>
              </w:rPr>
            </w:pPr>
            <w:r w:rsidRPr="003164EA">
              <w:rPr>
                <w:b w:val="0"/>
                <w:color w:val="auto"/>
              </w:rPr>
              <w:t>The systematic approach to country support will incorporate qualitative and quantitative monitoring, as well as assessments of current practices in the UN-REDD Programme to provide a benchmark to compare in time. The short duration of the proposed intervention of country needs assessments and the entirely country-specific nature of work poses a challenge to monitor results. Hence, monitoring and evaluation frameworks will be defined for each supported country, in line with national circumstances. An important concept in</w:t>
            </w:r>
            <w:r>
              <w:rPr>
                <w:b w:val="0"/>
                <w:color w:val="auto"/>
              </w:rPr>
              <w:t xml:space="preserve"> the monitoring and evaluation </w:t>
            </w:r>
            <w:r w:rsidRPr="003164EA">
              <w:rPr>
                <w:b w:val="0"/>
                <w:color w:val="auto"/>
              </w:rPr>
              <w:t>approach will be to monitor the evolution in national capacity and understanding of REDD+ issues.</w:t>
            </w:r>
          </w:p>
          <w:p w:rsidR="009E71B3" w:rsidRPr="0098675D" w:rsidRDefault="003164EA" w:rsidP="00371682">
            <w:pPr>
              <w:spacing w:before="240" w:line="276" w:lineRule="auto"/>
              <w:rPr>
                <w:b w:val="0"/>
                <w:color w:val="auto"/>
              </w:rPr>
            </w:pPr>
            <w:r w:rsidRPr="003164EA">
              <w:rPr>
                <w:b w:val="0"/>
                <w:color w:val="auto"/>
              </w:rPr>
              <w:t>As per UNDG guidelines for joint programming on resources for monitoring, 5% of the implementation budget has been allocated for monitoring and evaluation costs and is included in the budget of the concept note on “Results Based Management – Managing for Results</w:t>
            </w:r>
            <w:r w:rsidR="00371682">
              <w:rPr>
                <w:b w:val="0"/>
                <w:color w:val="auto"/>
              </w:rPr>
              <w:t>.</w:t>
            </w:r>
            <w:r w:rsidRPr="003164EA">
              <w:rPr>
                <w:b w:val="0"/>
                <w:color w:val="auto"/>
              </w:rPr>
              <w:t>”</w:t>
            </w:r>
          </w:p>
        </w:tc>
      </w:tr>
    </w:tbl>
    <w:p w:rsidR="002133D9" w:rsidRDefault="002133D9">
      <w:pPr>
        <w:sectPr w:rsidR="002133D9">
          <w:footerReference w:type="default" r:id="rId10"/>
          <w:pgSz w:w="12240" w:h="15840"/>
          <w:pgMar w:top="1440" w:right="1440" w:bottom="1440" w:left="1440" w:header="720" w:footer="720" w:gutter="0"/>
          <w:cols w:space="720"/>
          <w:docGrid w:linePitch="360"/>
        </w:sectPr>
      </w:pPr>
    </w:p>
    <w:p w:rsidR="0092010E" w:rsidRPr="002133D9"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sz w:val="24"/>
          <w:szCs w:val="24"/>
        </w:rPr>
      </w:pPr>
      <w:r w:rsidRPr="001A291E">
        <w:rPr>
          <w:b/>
          <w:color w:val="FFFFFF" w:themeColor="background1"/>
          <w:sz w:val="24"/>
          <w:szCs w:val="24"/>
        </w:rPr>
        <w:lastRenderedPageBreak/>
        <w:t xml:space="preserve">VI. Indicative Results </w:t>
      </w:r>
      <w:r w:rsidRPr="002133D9">
        <w:rPr>
          <w:b/>
          <w:color w:val="FFFFFF" w:themeColor="background1"/>
          <w:sz w:val="24"/>
          <w:szCs w:val="24"/>
        </w:rPr>
        <w:t>Framework</w:t>
      </w:r>
      <w:r w:rsidR="002133D9" w:rsidRPr="002133D9">
        <w:rPr>
          <w:rStyle w:val="FootnoteReference"/>
          <w:b/>
          <w:color w:val="FFFFFF" w:themeColor="background1"/>
          <w:sz w:val="24"/>
          <w:szCs w:val="24"/>
          <w:lang w:val="en-US"/>
        </w:rPr>
        <w:footnoteReference w:id="8"/>
      </w:r>
    </w:p>
    <w:tbl>
      <w:tblPr>
        <w:tblStyle w:val="TableGrid"/>
        <w:tblW w:w="14564" w:type="dxa"/>
        <w:tblLook w:val="04A0"/>
      </w:tblPr>
      <w:tblGrid>
        <w:gridCol w:w="2235"/>
        <w:gridCol w:w="1624"/>
        <w:gridCol w:w="987"/>
        <w:gridCol w:w="1867"/>
        <w:gridCol w:w="551"/>
        <w:gridCol w:w="503"/>
        <w:gridCol w:w="503"/>
        <w:gridCol w:w="503"/>
        <w:gridCol w:w="554"/>
        <w:gridCol w:w="503"/>
        <w:gridCol w:w="503"/>
        <w:gridCol w:w="503"/>
        <w:gridCol w:w="1252"/>
        <w:gridCol w:w="1192"/>
        <w:gridCol w:w="1284"/>
      </w:tblGrid>
      <w:tr w:rsidR="00FC0437" w:rsidRPr="00F66E35" w:rsidTr="00FC0437">
        <w:trPr>
          <w:tblHeader/>
        </w:trPr>
        <w:tc>
          <w:tcPr>
            <w:tcW w:w="2235" w:type="dxa"/>
            <w:vMerge w:val="restart"/>
            <w:shd w:val="clear" w:color="auto" w:fill="548DD4" w:themeFill="text2" w:themeFillTint="99"/>
          </w:tcPr>
          <w:p w:rsidR="009479A1" w:rsidRPr="00F66E35" w:rsidRDefault="00907379" w:rsidP="00FC0437">
            <w:pPr>
              <w:jc w:val="center"/>
              <w:rPr>
                <w:b/>
                <w:color w:val="FFFFFF" w:themeColor="background1"/>
                <w:sz w:val="24"/>
                <w:szCs w:val="24"/>
              </w:rPr>
            </w:pPr>
            <w:r>
              <w:rPr>
                <w:b/>
                <w:color w:val="FFFFFF" w:themeColor="background1"/>
                <w:sz w:val="24"/>
                <w:szCs w:val="24"/>
              </w:rPr>
              <w:t>Outcome</w:t>
            </w:r>
            <w:r w:rsidR="00FC0437">
              <w:rPr>
                <w:rStyle w:val="FootnoteReference"/>
                <w:b/>
                <w:color w:val="FFFFFF" w:themeColor="background1"/>
                <w:sz w:val="24"/>
                <w:szCs w:val="24"/>
              </w:rPr>
              <w:footnoteReference w:id="9"/>
            </w:r>
          </w:p>
        </w:tc>
        <w:tc>
          <w:tcPr>
            <w:tcW w:w="1624"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Output</w:t>
            </w:r>
          </w:p>
        </w:tc>
        <w:tc>
          <w:tcPr>
            <w:tcW w:w="987"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Agency</w:t>
            </w:r>
          </w:p>
        </w:tc>
        <w:tc>
          <w:tcPr>
            <w:tcW w:w="1867"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Activity</w:t>
            </w:r>
          </w:p>
        </w:tc>
        <w:tc>
          <w:tcPr>
            <w:tcW w:w="4123" w:type="dxa"/>
            <w:gridSpan w:val="8"/>
            <w:shd w:val="clear" w:color="auto" w:fill="548DD4" w:themeFill="text2" w:themeFillTint="99"/>
          </w:tcPr>
          <w:p w:rsidR="009479A1" w:rsidRPr="00F66E35" w:rsidRDefault="00213A44" w:rsidP="006908E7">
            <w:pPr>
              <w:jc w:val="center"/>
              <w:rPr>
                <w:b/>
                <w:color w:val="FFFFFF" w:themeColor="background1"/>
                <w:sz w:val="24"/>
                <w:szCs w:val="24"/>
              </w:rPr>
            </w:pPr>
            <w:r>
              <w:rPr>
                <w:b/>
                <w:color w:val="FFFFFF" w:themeColor="background1"/>
                <w:sz w:val="24"/>
                <w:szCs w:val="24"/>
              </w:rPr>
              <w:t>Indicative</w:t>
            </w:r>
            <w:r w:rsidR="009479A1" w:rsidRPr="00F66E35">
              <w:rPr>
                <w:b/>
                <w:color w:val="FFFFFF" w:themeColor="background1"/>
                <w:sz w:val="24"/>
                <w:szCs w:val="24"/>
              </w:rPr>
              <w:t xml:space="preserve"> Timeline</w:t>
            </w:r>
          </w:p>
        </w:tc>
        <w:tc>
          <w:tcPr>
            <w:tcW w:w="125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2014)</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2015)</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284" w:type="dxa"/>
            <w:vMerge w:val="restart"/>
            <w:shd w:val="clear" w:color="auto" w:fill="548DD4" w:themeFill="text2" w:themeFillTint="99"/>
          </w:tcPr>
          <w:p w:rsidR="009479A1" w:rsidRPr="00F66E35" w:rsidRDefault="009479A1" w:rsidP="00213A44">
            <w:pPr>
              <w:jc w:val="center"/>
              <w:rPr>
                <w:b/>
                <w:color w:val="FFFFFF" w:themeColor="background1"/>
                <w:sz w:val="24"/>
                <w:szCs w:val="24"/>
              </w:rPr>
            </w:pPr>
            <w:r w:rsidRPr="00F66E35">
              <w:rPr>
                <w:b/>
                <w:color w:val="FFFFFF" w:themeColor="background1"/>
                <w:sz w:val="24"/>
                <w:szCs w:val="24"/>
              </w:rPr>
              <w:t>Indicative budg</w:t>
            </w:r>
            <w:r>
              <w:rPr>
                <w:b/>
                <w:color w:val="FFFFFF" w:themeColor="background1"/>
                <w:sz w:val="24"/>
                <w:szCs w:val="24"/>
              </w:rPr>
              <w:t>et (Q1 2014 -Q4 2015) (US$</w:t>
            </w:r>
            <w:r w:rsidRPr="00AA55E3">
              <w:rPr>
                <w:b/>
                <w:color w:val="FFFFFF" w:themeColor="background1"/>
                <w:sz w:val="24"/>
                <w:szCs w:val="24"/>
              </w:rPr>
              <w:t>)</w:t>
            </w:r>
          </w:p>
        </w:tc>
      </w:tr>
      <w:tr w:rsidR="00FC0437" w:rsidRPr="00F66E35" w:rsidTr="00FC0437">
        <w:trPr>
          <w:tblHeader/>
        </w:trPr>
        <w:tc>
          <w:tcPr>
            <w:tcW w:w="2235" w:type="dxa"/>
            <w:vMerge/>
          </w:tcPr>
          <w:p w:rsidR="009479A1" w:rsidRPr="00F66E35" w:rsidRDefault="009479A1" w:rsidP="006908E7">
            <w:pPr>
              <w:rPr>
                <w:b/>
                <w:sz w:val="24"/>
                <w:szCs w:val="24"/>
              </w:rPr>
            </w:pPr>
          </w:p>
        </w:tc>
        <w:tc>
          <w:tcPr>
            <w:tcW w:w="1624" w:type="dxa"/>
            <w:vMerge/>
          </w:tcPr>
          <w:p w:rsidR="009479A1" w:rsidRPr="00F66E35" w:rsidRDefault="009479A1" w:rsidP="006908E7">
            <w:pPr>
              <w:rPr>
                <w:b/>
                <w:sz w:val="24"/>
                <w:szCs w:val="24"/>
              </w:rPr>
            </w:pPr>
          </w:p>
        </w:tc>
        <w:tc>
          <w:tcPr>
            <w:tcW w:w="987" w:type="dxa"/>
            <w:vMerge/>
          </w:tcPr>
          <w:p w:rsidR="009479A1" w:rsidRPr="00F66E35" w:rsidRDefault="009479A1" w:rsidP="006908E7">
            <w:pPr>
              <w:rPr>
                <w:b/>
                <w:sz w:val="24"/>
                <w:szCs w:val="24"/>
              </w:rPr>
            </w:pPr>
          </w:p>
        </w:tc>
        <w:tc>
          <w:tcPr>
            <w:tcW w:w="1867" w:type="dxa"/>
            <w:vMerge/>
          </w:tcPr>
          <w:p w:rsidR="009479A1" w:rsidRPr="00F66E35" w:rsidRDefault="009479A1" w:rsidP="006908E7">
            <w:pPr>
              <w:rPr>
                <w:b/>
                <w:sz w:val="24"/>
                <w:szCs w:val="24"/>
              </w:rPr>
            </w:pPr>
          </w:p>
        </w:tc>
        <w:tc>
          <w:tcPr>
            <w:tcW w:w="2060"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2014</w:t>
            </w:r>
          </w:p>
        </w:tc>
        <w:tc>
          <w:tcPr>
            <w:tcW w:w="2063"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2015</w:t>
            </w:r>
          </w:p>
        </w:tc>
        <w:tc>
          <w:tcPr>
            <w:tcW w:w="125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284" w:type="dxa"/>
            <w:vMerge/>
          </w:tcPr>
          <w:p w:rsidR="009479A1" w:rsidRPr="00F66E35" w:rsidRDefault="009479A1" w:rsidP="006908E7">
            <w:pPr>
              <w:rPr>
                <w:b/>
                <w:sz w:val="24"/>
                <w:szCs w:val="24"/>
              </w:rPr>
            </w:pPr>
          </w:p>
        </w:tc>
      </w:tr>
      <w:tr w:rsidR="00FC0437" w:rsidRPr="00F66E35" w:rsidTr="00FC0437">
        <w:trPr>
          <w:tblHeader/>
        </w:trPr>
        <w:tc>
          <w:tcPr>
            <w:tcW w:w="2235" w:type="dxa"/>
            <w:vMerge/>
          </w:tcPr>
          <w:p w:rsidR="009479A1" w:rsidRPr="00F66E35" w:rsidRDefault="009479A1" w:rsidP="006908E7">
            <w:pPr>
              <w:rPr>
                <w:b/>
                <w:sz w:val="24"/>
                <w:szCs w:val="24"/>
              </w:rPr>
            </w:pPr>
          </w:p>
        </w:tc>
        <w:tc>
          <w:tcPr>
            <w:tcW w:w="1624" w:type="dxa"/>
            <w:vMerge/>
          </w:tcPr>
          <w:p w:rsidR="009479A1" w:rsidRPr="00F66E35" w:rsidRDefault="009479A1" w:rsidP="006908E7">
            <w:pPr>
              <w:rPr>
                <w:b/>
                <w:sz w:val="24"/>
                <w:szCs w:val="24"/>
              </w:rPr>
            </w:pPr>
          </w:p>
        </w:tc>
        <w:tc>
          <w:tcPr>
            <w:tcW w:w="987" w:type="dxa"/>
            <w:vMerge/>
          </w:tcPr>
          <w:p w:rsidR="009479A1" w:rsidRPr="00F66E35" w:rsidRDefault="009479A1" w:rsidP="006908E7">
            <w:pPr>
              <w:rPr>
                <w:b/>
                <w:sz w:val="24"/>
                <w:szCs w:val="24"/>
              </w:rPr>
            </w:pPr>
          </w:p>
        </w:tc>
        <w:tc>
          <w:tcPr>
            <w:tcW w:w="1867" w:type="dxa"/>
            <w:vMerge/>
            <w:tcBorders>
              <w:bottom w:val="single" w:sz="4" w:space="0" w:color="auto"/>
            </w:tcBorders>
          </w:tcPr>
          <w:p w:rsidR="009479A1" w:rsidRPr="00F66E35" w:rsidRDefault="009479A1" w:rsidP="006908E7">
            <w:pPr>
              <w:rPr>
                <w:b/>
                <w:sz w:val="24"/>
                <w:szCs w:val="24"/>
              </w:rPr>
            </w:pPr>
          </w:p>
        </w:tc>
        <w:tc>
          <w:tcPr>
            <w:tcW w:w="551" w:type="dxa"/>
            <w:shd w:val="clear" w:color="auto" w:fill="548DD4" w:themeFill="text2" w:themeFillTint="99"/>
          </w:tcPr>
          <w:p w:rsidR="009479A1" w:rsidRPr="00F66E35" w:rsidRDefault="009479A1" w:rsidP="006908E7">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554"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125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284" w:type="dxa"/>
            <w:vMerge/>
          </w:tcPr>
          <w:p w:rsidR="009479A1" w:rsidRPr="00F66E35" w:rsidRDefault="009479A1" w:rsidP="006908E7">
            <w:pPr>
              <w:rPr>
                <w:b/>
                <w:sz w:val="24"/>
                <w:szCs w:val="24"/>
              </w:rPr>
            </w:pPr>
          </w:p>
        </w:tc>
      </w:tr>
      <w:tr w:rsidR="00FC0437" w:rsidRPr="004A3DDE" w:rsidTr="00FC0437">
        <w:trPr>
          <w:cantSplit/>
        </w:trPr>
        <w:tc>
          <w:tcPr>
            <w:tcW w:w="2235" w:type="dxa"/>
            <w:vMerge w:val="restart"/>
          </w:tcPr>
          <w:p w:rsidR="00FC0437" w:rsidRPr="00B61CB3" w:rsidRDefault="00907379" w:rsidP="00B61CB3">
            <w:pPr>
              <w:spacing w:before="100" w:beforeAutospacing="1"/>
              <w:rPr>
                <w:sz w:val="20"/>
                <w:szCs w:val="20"/>
              </w:rPr>
            </w:pPr>
            <w:r>
              <w:rPr>
                <w:sz w:val="20"/>
                <w:szCs w:val="20"/>
              </w:rPr>
              <w:t xml:space="preserve">Expected Result 1: </w:t>
            </w:r>
            <w:r w:rsidR="00FC0437" w:rsidRPr="00B61CB3">
              <w:rPr>
                <w:sz w:val="20"/>
                <w:szCs w:val="20"/>
              </w:rPr>
              <w:t>Enhanced leadership by the countries towards more integrated and better coordinated programmes and readiness activities.</w:t>
            </w:r>
          </w:p>
        </w:tc>
        <w:tc>
          <w:tcPr>
            <w:tcW w:w="1624" w:type="dxa"/>
            <w:vMerge w:val="restart"/>
          </w:tcPr>
          <w:p w:rsidR="00FC0437" w:rsidRPr="00B33B2E" w:rsidRDefault="00EC7069" w:rsidP="006908E7">
            <w:pPr>
              <w:rPr>
                <w:sz w:val="20"/>
                <w:szCs w:val="20"/>
              </w:rPr>
            </w:pPr>
            <w:r>
              <w:rPr>
                <w:sz w:val="20"/>
                <w:szCs w:val="20"/>
              </w:rPr>
              <w:t>F</w:t>
            </w:r>
            <w:r w:rsidR="00FC0437" w:rsidRPr="00213A44">
              <w:rPr>
                <w:sz w:val="20"/>
                <w:szCs w:val="20"/>
              </w:rPr>
              <w:t>acilitate the preparation of National Progra</w:t>
            </w:r>
            <w:r>
              <w:rPr>
                <w:sz w:val="20"/>
                <w:szCs w:val="20"/>
              </w:rPr>
              <w:t>mmes  and better definition of t</w:t>
            </w:r>
            <w:r w:rsidR="00FC0437" w:rsidRPr="00213A44">
              <w:rPr>
                <w:sz w:val="20"/>
                <w:szCs w:val="20"/>
              </w:rPr>
              <w:t>argeted support requests</w:t>
            </w:r>
          </w:p>
        </w:tc>
        <w:tc>
          <w:tcPr>
            <w:tcW w:w="987" w:type="dxa"/>
            <w:vMerge w:val="restart"/>
            <w:tcBorders>
              <w:right w:val="single" w:sz="4" w:space="0" w:color="auto"/>
            </w:tcBorders>
          </w:tcPr>
          <w:p w:rsidR="00FC0437" w:rsidRPr="00B33B2E" w:rsidRDefault="00FC0437" w:rsidP="00213A44">
            <w:pPr>
              <w:jc w:val="center"/>
              <w:rPr>
                <w:sz w:val="20"/>
                <w:szCs w:val="20"/>
              </w:rPr>
            </w:pPr>
            <w:r>
              <w:rPr>
                <w:sz w:val="20"/>
                <w:szCs w:val="20"/>
              </w:rPr>
              <w:t>All</w:t>
            </w:r>
          </w:p>
        </w:tc>
        <w:tc>
          <w:tcPr>
            <w:tcW w:w="1867" w:type="dxa"/>
            <w:tcBorders>
              <w:top w:val="single" w:sz="4" w:space="0" w:color="auto"/>
              <w:left w:val="single" w:sz="4" w:space="0" w:color="auto"/>
              <w:bottom w:val="single" w:sz="4" w:space="0" w:color="auto"/>
              <w:right w:val="single" w:sz="4" w:space="0" w:color="auto"/>
            </w:tcBorders>
          </w:tcPr>
          <w:p w:rsidR="00FC0437" w:rsidRPr="00B33B2E" w:rsidRDefault="00FC0437" w:rsidP="00213A44">
            <w:pPr>
              <w:rPr>
                <w:sz w:val="20"/>
                <w:szCs w:val="20"/>
              </w:rPr>
            </w:pPr>
            <w:r>
              <w:rPr>
                <w:sz w:val="20"/>
                <w:szCs w:val="20"/>
              </w:rPr>
              <w:t>C</w:t>
            </w:r>
            <w:r w:rsidRPr="00213A44">
              <w:rPr>
                <w:sz w:val="20"/>
                <w:szCs w:val="20"/>
              </w:rPr>
              <w:t xml:space="preserve">ountry needs assessment covering the areas of work under SNA Outcomes 1, 2, 4, 5 and 6 for </w:t>
            </w:r>
            <w:r>
              <w:rPr>
                <w:sz w:val="20"/>
                <w:szCs w:val="20"/>
              </w:rPr>
              <w:t>12 countries</w:t>
            </w:r>
            <w:r w:rsidR="00BE6F8F">
              <w:rPr>
                <w:sz w:val="20"/>
                <w:szCs w:val="20"/>
              </w:rPr>
              <w:t xml:space="preserve"> in 2014</w:t>
            </w:r>
            <w:r>
              <w:rPr>
                <w:sz w:val="20"/>
                <w:szCs w:val="20"/>
              </w:rPr>
              <w:t>.</w:t>
            </w:r>
          </w:p>
        </w:tc>
        <w:tc>
          <w:tcPr>
            <w:tcW w:w="551" w:type="dxa"/>
            <w:tcBorders>
              <w:left w:val="single" w:sz="4" w:space="0" w:color="auto"/>
            </w:tcBorders>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554" w:type="dxa"/>
          </w:tcPr>
          <w:p w:rsidR="00FC0437" w:rsidRPr="004A3DDE" w:rsidRDefault="00FC0437" w:rsidP="006908E7"/>
        </w:tc>
        <w:tc>
          <w:tcPr>
            <w:tcW w:w="503" w:type="dxa"/>
          </w:tcPr>
          <w:p w:rsidR="00FC0437" w:rsidRPr="004A3DDE" w:rsidRDefault="00FC0437" w:rsidP="006908E7"/>
        </w:tc>
        <w:tc>
          <w:tcPr>
            <w:tcW w:w="503" w:type="dxa"/>
          </w:tcPr>
          <w:p w:rsidR="00FC0437" w:rsidRPr="004A3DDE" w:rsidRDefault="00FC0437" w:rsidP="006908E7"/>
        </w:tc>
        <w:tc>
          <w:tcPr>
            <w:tcW w:w="503" w:type="dxa"/>
          </w:tcPr>
          <w:p w:rsidR="00FC0437" w:rsidRPr="004A3DDE" w:rsidRDefault="00FC0437" w:rsidP="006908E7"/>
        </w:tc>
        <w:tc>
          <w:tcPr>
            <w:tcW w:w="1252" w:type="dxa"/>
          </w:tcPr>
          <w:p w:rsidR="00FC0437" w:rsidRPr="004A3DDE" w:rsidRDefault="00FC0437" w:rsidP="006908E7">
            <w:pPr>
              <w:jc w:val="right"/>
            </w:pPr>
            <w:r>
              <w:t>1,200,000</w:t>
            </w:r>
          </w:p>
        </w:tc>
        <w:tc>
          <w:tcPr>
            <w:tcW w:w="1192" w:type="dxa"/>
          </w:tcPr>
          <w:p w:rsidR="00FC0437" w:rsidRPr="004A3DDE" w:rsidRDefault="00FC0437" w:rsidP="006908E7">
            <w:pPr>
              <w:jc w:val="right"/>
            </w:pPr>
          </w:p>
        </w:tc>
        <w:tc>
          <w:tcPr>
            <w:tcW w:w="1284" w:type="dxa"/>
          </w:tcPr>
          <w:p w:rsidR="00FC0437" w:rsidRPr="004A3DDE" w:rsidRDefault="00FC0437" w:rsidP="006908E7">
            <w:pPr>
              <w:jc w:val="right"/>
            </w:pPr>
            <w:r>
              <w:t>1,200,000</w:t>
            </w:r>
          </w:p>
        </w:tc>
      </w:tr>
      <w:tr w:rsidR="00FC0437" w:rsidRPr="004A3DDE" w:rsidTr="00FC0437">
        <w:trPr>
          <w:cantSplit/>
        </w:trPr>
        <w:tc>
          <w:tcPr>
            <w:tcW w:w="2235" w:type="dxa"/>
            <w:vMerge/>
          </w:tcPr>
          <w:p w:rsidR="00FC0437" w:rsidRPr="00B33B2E" w:rsidRDefault="00FC0437" w:rsidP="006908E7">
            <w:pPr>
              <w:rPr>
                <w:sz w:val="20"/>
                <w:szCs w:val="20"/>
              </w:rPr>
            </w:pPr>
          </w:p>
        </w:tc>
        <w:tc>
          <w:tcPr>
            <w:tcW w:w="1624" w:type="dxa"/>
            <w:vMerge/>
          </w:tcPr>
          <w:p w:rsidR="00FC0437" w:rsidRPr="00213A44" w:rsidRDefault="00FC0437" w:rsidP="006908E7">
            <w:pPr>
              <w:rPr>
                <w:sz w:val="20"/>
                <w:szCs w:val="20"/>
              </w:rPr>
            </w:pPr>
          </w:p>
        </w:tc>
        <w:tc>
          <w:tcPr>
            <w:tcW w:w="987" w:type="dxa"/>
            <w:vMerge/>
            <w:tcBorders>
              <w:right w:val="single" w:sz="4" w:space="0" w:color="auto"/>
            </w:tcBorders>
          </w:tcPr>
          <w:p w:rsidR="00FC0437" w:rsidRDefault="00FC0437" w:rsidP="00213A44">
            <w:pPr>
              <w:rPr>
                <w:sz w:val="20"/>
                <w:szCs w:val="20"/>
              </w:rPr>
            </w:pPr>
          </w:p>
        </w:tc>
        <w:tc>
          <w:tcPr>
            <w:tcW w:w="1867" w:type="dxa"/>
            <w:tcBorders>
              <w:top w:val="single" w:sz="4" w:space="0" w:color="auto"/>
              <w:left w:val="single" w:sz="4" w:space="0" w:color="auto"/>
              <w:bottom w:val="single" w:sz="4" w:space="0" w:color="auto"/>
              <w:right w:val="single" w:sz="4" w:space="0" w:color="auto"/>
            </w:tcBorders>
          </w:tcPr>
          <w:p w:rsidR="00FC0437" w:rsidRDefault="00FC0437" w:rsidP="00213A44">
            <w:pPr>
              <w:rPr>
                <w:sz w:val="20"/>
                <w:szCs w:val="20"/>
              </w:rPr>
            </w:pPr>
            <w:r>
              <w:rPr>
                <w:sz w:val="20"/>
                <w:szCs w:val="20"/>
              </w:rPr>
              <w:t>C</w:t>
            </w:r>
            <w:r w:rsidRPr="00213A44">
              <w:rPr>
                <w:sz w:val="20"/>
                <w:szCs w:val="20"/>
              </w:rPr>
              <w:t>ountry needs assessment covering the areas</w:t>
            </w:r>
            <w:r>
              <w:rPr>
                <w:sz w:val="20"/>
                <w:szCs w:val="20"/>
              </w:rPr>
              <w:t xml:space="preserve"> of work under SNA Outcome 1, 2</w:t>
            </w:r>
            <w:r w:rsidRPr="00213A44">
              <w:rPr>
                <w:sz w:val="20"/>
                <w:szCs w:val="20"/>
              </w:rPr>
              <w:t xml:space="preserve">, 4, 5 and 6 for </w:t>
            </w:r>
            <w:r>
              <w:rPr>
                <w:sz w:val="20"/>
                <w:szCs w:val="20"/>
              </w:rPr>
              <w:t>13</w:t>
            </w:r>
            <w:r w:rsidRPr="00213A44">
              <w:rPr>
                <w:sz w:val="20"/>
                <w:szCs w:val="20"/>
              </w:rPr>
              <w:t xml:space="preserve"> countries</w:t>
            </w:r>
            <w:r w:rsidR="00BE6F8F">
              <w:rPr>
                <w:sz w:val="20"/>
                <w:szCs w:val="20"/>
              </w:rPr>
              <w:t xml:space="preserve"> in 2015</w:t>
            </w:r>
          </w:p>
        </w:tc>
        <w:tc>
          <w:tcPr>
            <w:tcW w:w="551" w:type="dxa"/>
            <w:tcBorders>
              <w:left w:val="single" w:sz="4" w:space="0" w:color="auto"/>
            </w:tcBorders>
            <w:shd w:val="clear" w:color="auto" w:fill="auto"/>
          </w:tcPr>
          <w:p w:rsidR="00FC0437" w:rsidRPr="004A3DDE" w:rsidRDefault="00FC0437" w:rsidP="006908E7"/>
        </w:tc>
        <w:tc>
          <w:tcPr>
            <w:tcW w:w="503" w:type="dxa"/>
            <w:shd w:val="clear" w:color="auto" w:fill="auto"/>
          </w:tcPr>
          <w:p w:rsidR="00FC0437" w:rsidRPr="004A3DDE" w:rsidRDefault="00FC0437" w:rsidP="006908E7"/>
        </w:tc>
        <w:tc>
          <w:tcPr>
            <w:tcW w:w="503" w:type="dxa"/>
            <w:shd w:val="clear" w:color="auto" w:fill="auto"/>
          </w:tcPr>
          <w:p w:rsidR="00FC0437" w:rsidRPr="004A3DDE" w:rsidRDefault="00FC0437" w:rsidP="006908E7"/>
        </w:tc>
        <w:tc>
          <w:tcPr>
            <w:tcW w:w="503" w:type="dxa"/>
            <w:shd w:val="clear" w:color="auto" w:fill="auto"/>
          </w:tcPr>
          <w:p w:rsidR="00FC0437" w:rsidRPr="004A3DDE" w:rsidRDefault="00FC0437" w:rsidP="006908E7"/>
        </w:tc>
        <w:tc>
          <w:tcPr>
            <w:tcW w:w="554" w:type="dxa"/>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503" w:type="dxa"/>
            <w:shd w:val="clear" w:color="auto" w:fill="548DD4" w:themeFill="text2" w:themeFillTint="99"/>
          </w:tcPr>
          <w:p w:rsidR="00FC0437" w:rsidRPr="004A3DDE" w:rsidRDefault="00FC0437" w:rsidP="006908E7"/>
        </w:tc>
        <w:tc>
          <w:tcPr>
            <w:tcW w:w="1252" w:type="dxa"/>
          </w:tcPr>
          <w:p w:rsidR="00FC0437" w:rsidRDefault="00FC0437" w:rsidP="006908E7">
            <w:pPr>
              <w:jc w:val="right"/>
            </w:pPr>
          </w:p>
        </w:tc>
        <w:tc>
          <w:tcPr>
            <w:tcW w:w="1192" w:type="dxa"/>
          </w:tcPr>
          <w:p w:rsidR="00FC0437" w:rsidRPr="004A3DDE" w:rsidRDefault="00FC0437" w:rsidP="006908E7">
            <w:pPr>
              <w:jc w:val="right"/>
            </w:pPr>
            <w:r>
              <w:t>1,300,000</w:t>
            </w:r>
          </w:p>
        </w:tc>
        <w:tc>
          <w:tcPr>
            <w:tcW w:w="1284" w:type="dxa"/>
          </w:tcPr>
          <w:p w:rsidR="00FC0437" w:rsidRDefault="00FC0437" w:rsidP="006908E7">
            <w:pPr>
              <w:jc w:val="right"/>
            </w:pPr>
            <w:r>
              <w:t>1,300,000</w:t>
            </w:r>
          </w:p>
        </w:tc>
      </w:tr>
      <w:tr w:rsidR="00EC3B85" w:rsidRPr="004A3DDE" w:rsidTr="00FC0437">
        <w:trPr>
          <w:cantSplit/>
        </w:trPr>
        <w:tc>
          <w:tcPr>
            <w:tcW w:w="10836" w:type="dxa"/>
            <w:gridSpan w:val="12"/>
            <w:shd w:val="clear" w:color="auto" w:fill="D9D9D9" w:themeFill="background1" w:themeFillShade="D9"/>
          </w:tcPr>
          <w:p w:rsidR="00EC3B85" w:rsidRPr="00213A44" w:rsidRDefault="00EC3B85" w:rsidP="006908E7">
            <w:pPr>
              <w:rPr>
                <w:b/>
              </w:rPr>
            </w:pPr>
            <w:r w:rsidRPr="00213A44">
              <w:rPr>
                <w:b/>
              </w:rPr>
              <w:t>Subtotal, Result 1</w:t>
            </w:r>
          </w:p>
        </w:tc>
        <w:tc>
          <w:tcPr>
            <w:tcW w:w="1252" w:type="dxa"/>
            <w:shd w:val="clear" w:color="auto" w:fill="D9D9D9" w:themeFill="background1" w:themeFillShade="D9"/>
          </w:tcPr>
          <w:p w:rsidR="00EC3B85" w:rsidRPr="009479A1" w:rsidRDefault="00213A44" w:rsidP="006908E7">
            <w:pPr>
              <w:jc w:val="right"/>
              <w:rPr>
                <w:b/>
              </w:rPr>
            </w:pPr>
            <w:r>
              <w:rPr>
                <w:b/>
              </w:rPr>
              <w:t>1,200,000</w:t>
            </w:r>
            <w:r>
              <w:rPr>
                <w:rStyle w:val="FootnoteReference"/>
                <w:b/>
              </w:rPr>
              <w:footnoteReference w:id="10"/>
            </w:r>
          </w:p>
        </w:tc>
        <w:tc>
          <w:tcPr>
            <w:tcW w:w="1192" w:type="dxa"/>
            <w:shd w:val="clear" w:color="auto" w:fill="D9D9D9" w:themeFill="background1" w:themeFillShade="D9"/>
          </w:tcPr>
          <w:p w:rsidR="00EC3B85" w:rsidRPr="009479A1" w:rsidRDefault="00213A44" w:rsidP="006908E7">
            <w:pPr>
              <w:jc w:val="right"/>
              <w:rPr>
                <w:b/>
              </w:rPr>
            </w:pPr>
            <w:r>
              <w:rPr>
                <w:b/>
              </w:rPr>
              <w:t>1,300,000</w:t>
            </w:r>
          </w:p>
        </w:tc>
        <w:tc>
          <w:tcPr>
            <w:tcW w:w="1284" w:type="dxa"/>
            <w:shd w:val="clear" w:color="auto" w:fill="D9D9D9" w:themeFill="background1" w:themeFillShade="D9"/>
          </w:tcPr>
          <w:p w:rsidR="00EC3B85" w:rsidRPr="009479A1" w:rsidRDefault="00213A44" w:rsidP="006908E7">
            <w:pPr>
              <w:jc w:val="right"/>
              <w:rPr>
                <w:b/>
              </w:rPr>
            </w:pPr>
            <w:r>
              <w:rPr>
                <w:b/>
              </w:rPr>
              <w:t>2,500,000</w:t>
            </w:r>
          </w:p>
        </w:tc>
      </w:tr>
      <w:tr w:rsidR="00403FF8" w:rsidRPr="004A3DDE" w:rsidTr="00FC0437">
        <w:trPr>
          <w:cantSplit/>
          <w:trHeight w:val="426"/>
        </w:trPr>
        <w:tc>
          <w:tcPr>
            <w:tcW w:w="10836" w:type="dxa"/>
            <w:gridSpan w:val="12"/>
            <w:shd w:val="clear" w:color="auto" w:fill="D9D9D9" w:themeFill="background1" w:themeFillShade="D9"/>
            <w:vAlign w:val="center"/>
          </w:tcPr>
          <w:p w:rsidR="00403FF8" w:rsidRPr="00213A44" w:rsidRDefault="00403FF8" w:rsidP="00403FF8">
            <w:pPr>
              <w:rPr>
                <w:b/>
              </w:rPr>
            </w:pPr>
            <w:r w:rsidRPr="00213A44">
              <w:rPr>
                <w:b/>
              </w:rPr>
              <w:t>Indire</w:t>
            </w:r>
            <w:r w:rsidR="00917BDA" w:rsidRPr="00213A44">
              <w:rPr>
                <w:b/>
              </w:rPr>
              <w:t>ct support costs (7%)</w:t>
            </w:r>
          </w:p>
        </w:tc>
        <w:tc>
          <w:tcPr>
            <w:tcW w:w="1252" w:type="dxa"/>
            <w:shd w:val="clear" w:color="auto" w:fill="D9D9D9" w:themeFill="background1" w:themeFillShade="D9"/>
            <w:vAlign w:val="center"/>
          </w:tcPr>
          <w:p w:rsidR="00403FF8" w:rsidRPr="00403FF8" w:rsidRDefault="00213A44" w:rsidP="00403FF8">
            <w:pPr>
              <w:jc w:val="right"/>
              <w:rPr>
                <w:b/>
              </w:rPr>
            </w:pPr>
            <w:r>
              <w:rPr>
                <w:b/>
              </w:rPr>
              <w:t>84,000</w:t>
            </w:r>
          </w:p>
        </w:tc>
        <w:tc>
          <w:tcPr>
            <w:tcW w:w="1192" w:type="dxa"/>
            <w:shd w:val="clear" w:color="auto" w:fill="D9D9D9" w:themeFill="background1" w:themeFillShade="D9"/>
            <w:vAlign w:val="center"/>
          </w:tcPr>
          <w:p w:rsidR="00403FF8" w:rsidRPr="00403FF8" w:rsidRDefault="00213A44" w:rsidP="00403FF8">
            <w:pPr>
              <w:jc w:val="right"/>
              <w:rPr>
                <w:b/>
              </w:rPr>
            </w:pPr>
            <w:r>
              <w:rPr>
                <w:b/>
              </w:rPr>
              <w:t>91,000</w:t>
            </w:r>
          </w:p>
        </w:tc>
        <w:tc>
          <w:tcPr>
            <w:tcW w:w="1284" w:type="dxa"/>
            <w:shd w:val="clear" w:color="auto" w:fill="D9D9D9" w:themeFill="background1" w:themeFillShade="D9"/>
            <w:vAlign w:val="center"/>
          </w:tcPr>
          <w:p w:rsidR="00403FF8" w:rsidRPr="00403FF8" w:rsidRDefault="00213A44" w:rsidP="00403FF8">
            <w:pPr>
              <w:jc w:val="right"/>
              <w:rPr>
                <w:b/>
              </w:rPr>
            </w:pPr>
            <w:r>
              <w:rPr>
                <w:b/>
              </w:rPr>
              <w:t>175,000</w:t>
            </w:r>
          </w:p>
        </w:tc>
      </w:tr>
      <w:tr w:rsidR="00403FF8" w:rsidRPr="004A3DDE" w:rsidTr="00FC0437">
        <w:trPr>
          <w:cantSplit/>
          <w:trHeight w:val="454"/>
        </w:trPr>
        <w:tc>
          <w:tcPr>
            <w:tcW w:w="10836" w:type="dxa"/>
            <w:gridSpan w:val="12"/>
            <w:shd w:val="clear" w:color="auto" w:fill="D9D9D9" w:themeFill="background1" w:themeFillShade="D9"/>
            <w:vAlign w:val="center"/>
          </w:tcPr>
          <w:p w:rsidR="00403FF8" w:rsidRPr="00213A44" w:rsidRDefault="00403FF8" w:rsidP="00403FF8">
            <w:pPr>
              <w:rPr>
                <w:b/>
              </w:rPr>
            </w:pPr>
            <w:r w:rsidRPr="00213A44">
              <w:rPr>
                <w:b/>
              </w:rPr>
              <w:t>TOTAL</w:t>
            </w:r>
          </w:p>
        </w:tc>
        <w:tc>
          <w:tcPr>
            <w:tcW w:w="1252" w:type="dxa"/>
            <w:shd w:val="clear" w:color="auto" w:fill="D9D9D9" w:themeFill="background1" w:themeFillShade="D9"/>
            <w:vAlign w:val="center"/>
          </w:tcPr>
          <w:p w:rsidR="00403FF8" w:rsidRPr="00403FF8" w:rsidRDefault="00213A44" w:rsidP="00403FF8">
            <w:pPr>
              <w:jc w:val="right"/>
              <w:rPr>
                <w:b/>
              </w:rPr>
            </w:pPr>
            <w:r>
              <w:rPr>
                <w:b/>
              </w:rPr>
              <w:t>1,284,000</w:t>
            </w:r>
          </w:p>
        </w:tc>
        <w:tc>
          <w:tcPr>
            <w:tcW w:w="1192" w:type="dxa"/>
            <w:shd w:val="clear" w:color="auto" w:fill="D9D9D9" w:themeFill="background1" w:themeFillShade="D9"/>
            <w:vAlign w:val="center"/>
          </w:tcPr>
          <w:p w:rsidR="00403FF8" w:rsidRPr="00403FF8" w:rsidRDefault="00213A44" w:rsidP="00403FF8">
            <w:pPr>
              <w:jc w:val="right"/>
              <w:rPr>
                <w:b/>
              </w:rPr>
            </w:pPr>
            <w:r>
              <w:rPr>
                <w:b/>
              </w:rPr>
              <w:t>1,391,000</w:t>
            </w:r>
          </w:p>
        </w:tc>
        <w:tc>
          <w:tcPr>
            <w:tcW w:w="1284" w:type="dxa"/>
            <w:shd w:val="clear" w:color="auto" w:fill="D9D9D9" w:themeFill="background1" w:themeFillShade="D9"/>
            <w:vAlign w:val="center"/>
          </w:tcPr>
          <w:p w:rsidR="00403FF8" w:rsidRPr="00403FF8" w:rsidRDefault="00213A44" w:rsidP="00403FF8">
            <w:pPr>
              <w:jc w:val="right"/>
              <w:rPr>
                <w:b/>
              </w:rPr>
            </w:pPr>
            <w:r>
              <w:rPr>
                <w:b/>
              </w:rPr>
              <w:t>2,675,000</w:t>
            </w:r>
          </w:p>
        </w:tc>
      </w:tr>
    </w:tbl>
    <w:p w:rsidR="00E143BE" w:rsidRDefault="00E143BE" w:rsidP="00FC0437">
      <w:pPr>
        <w:pStyle w:val="ListParagraph"/>
        <w:ind w:left="0"/>
        <w:jc w:val="both"/>
      </w:pPr>
    </w:p>
    <w:sectPr w:rsidR="00E143BE" w:rsidSect="00213A44">
      <w:pgSz w:w="15840" w:h="12240"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DF0" w:rsidRDefault="00E92DF0" w:rsidP="0036590B">
      <w:pPr>
        <w:spacing w:after="0" w:line="240" w:lineRule="auto"/>
      </w:pPr>
      <w:r>
        <w:separator/>
      </w:r>
    </w:p>
  </w:endnote>
  <w:endnote w:type="continuationSeparator" w:id="0">
    <w:p w:rsidR="00E92DF0" w:rsidRDefault="00E92DF0" w:rsidP="00365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188767"/>
      <w:docPartObj>
        <w:docPartGallery w:val="Page Numbers (Bottom of Page)"/>
        <w:docPartUnique/>
      </w:docPartObj>
    </w:sdtPr>
    <w:sdtEndPr>
      <w:rPr>
        <w:noProof/>
      </w:rPr>
    </w:sdtEndPr>
    <w:sdtContent>
      <w:p w:rsidR="00393EDE" w:rsidRDefault="00E01B05" w:rsidP="001A291E">
        <w:pPr>
          <w:pStyle w:val="Footer"/>
          <w:jc w:val="right"/>
        </w:pPr>
        <w:r>
          <w:fldChar w:fldCharType="begin"/>
        </w:r>
        <w:r w:rsidR="00393EDE">
          <w:instrText xml:space="preserve"> PAGE   \* MERGEFORMAT </w:instrText>
        </w:r>
        <w:r>
          <w:fldChar w:fldCharType="separate"/>
        </w:r>
        <w:r w:rsidR="000E3D7D">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DF0" w:rsidRDefault="00E92DF0" w:rsidP="0036590B">
      <w:pPr>
        <w:spacing w:after="0" w:line="240" w:lineRule="auto"/>
      </w:pPr>
      <w:r>
        <w:separator/>
      </w:r>
    </w:p>
  </w:footnote>
  <w:footnote w:type="continuationSeparator" w:id="0">
    <w:p w:rsidR="00E92DF0" w:rsidRDefault="00E92DF0" w:rsidP="0036590B">
      <w:pPr>
        <w:spacing w:after="0" w:line="240" w:lineRule="auto"/>
      </w:pPr>
      <w:r>
        <w:continuationSeparator/>
      </w:r>
    </w:p>
  </w:footnote>
  <w:footnote w:id="1">
    <w:p w:rsidR="0036590B" w:rsidRPr="0036590B" w:rsidRDefault="0036590B">
      <w:pPr>
        <w:pStyle w:val="FootnoteText"/>
        <w:rPr>
          <w:lang w:val="en-US"/>
        </w:rPr>
      </w:pPr>
      <w:r>
        <w:rPr>
          <w:rStyle w:val="FootnoteReference"/>
        </w:rPr>
        <w:footnoteRef/>
      </w:r>
      <w:r>
        <w:t xml:space="preserve"> </w:t>
      </w:r>
      <w:r w:rsidRPr="00EA7024">
        <w:t>The work areas are: Measurement, Reporting and Verification (MRV); Governance; Stakeholder Engagement; Multiple Benefits and Safeguards; Transparency and Accountability; and, Green Economy</w:t>
      </w:r>
      <w:r w:rsidRPr="00DD4C55">
        <w:rPr>
          <w:sz w:val="18"/>
          <w:szCs w:val="18"/>
        </w:rPr>
        <w:t>.</w:t>
      </w:r>
    </w:p>
  </w:footnote>
  <w:footnote w:id="2">
    <w:p w:rsidR="00EA7024" w:rsidRDefault="00EA7024">
      <w:pPr>
        <w:pStyle w:val="FootnoteText"/>
      </w:pPr>
      <w:r>
        <w:rPr>
          <w:rStyle w:val="FootnoteReference"/>
        </w:rPr>
        <w:footnoteRef/>
      </w:r>
      <w:r>
        <w:t xml:space="preserve"> </w:t>
      </w:r>
      <w:r w:rsidRPr="00EA7024">
        <w:t>Timely and effective UN-REDD Programme Secretariat services provided to the UN-REDD partner countries, Policy Board and the UN agencies</w:t>
      </w:r>
      <w:r>
        <w:t>.</w:t>
      </w:r>
    </w:p>
  </w:footnote>
  <w:footnote w:id="3">
    <w:p w:rsidR="00EA7024" w:rsidRDefault="00EA7024" w:rsidP="00EA7024">
      <w:pPr>
        <w:pStyle w:val="FootnoteText"/>
      </w:pPr>
      <w:r>
        <w:rPr>
          <w:rStyle w:val="FootnoteReference"/>
        </w:rPr>
        <w:footnoteRef/>
      </w:r>
      <w:r>
        <w:t xml:space="preserve"> US$ 100,000 multiplied by</w:t>
      </w:r>
      <w:r w:rsidRPr="00EA7024">
        <w:t xml:space="preserve"> 25 UN RE</w:t>
      </w:r>
      <w:r>
        <w:t>DD Programme partner countries plus</w:t>
      </w:r>
      <w:r w:rsidRPr="00EA7024">
        <w:t xml:space="preserve"> indirect support costs.</w:t>
      </w:r>
    </w:p>
  </w:footnote>
  <w:footnote w:id="4">
    <w:p w:rsidR="00EA7024" w:rsidRDefault="00EA7024">
      <w:pPr>
        <w:pStyle w:val="FootnoteText"/>
      </w:pPr>
      <w:r>
        <w:rPr>
          <w:rStyle w:val="FootnoteReference"/>
        </w:rPr>
        <w:footnoteRef/>
      </w:r>
      <w:r>
        <w:t xml:space="preserve"> US$ 100,000 multiplied by</w:t>
      </w:r>
      <w:r w:rsidRPr="00EA7024">
        <w:t xml:space="preserve"> 12 UN RE</w:t>
      </w:r>
      <w:r>
        <w:t>DD Programme partner countries plus</w:t>
      </w:r>
      <w:r w:rsidRPr="00EA7024">
        <w:t xml:space="preserve"> indirect support costs.</w:t>
      </w:r>
    </w:p>
  </w:footnote>
  <w:footnote w:id="5">
    <w:p w:rsidR="005E1A58" w:rsidRDefault="005E1A58" w:rsidP="005E1A58">
      <w:pPr>
        <w:pStyle w:val="FootnoteText"/>
      </w:pPr>
      <w:r>
        <w:rPr>
          <w:rStyle w:val="FootnoteReference"/>
        </w:rPr>
        <w:footnoteRef/>
      </w:r>
      <w:r>
        <w:t xml:space="preserve"> </w:t>
      </w:r>
      <w:r w:rsidRPr="003164EA">
        <w:t xml:space="preserve">The </w:t>
      </w:r>
      <w:hyperlink r:id="rId1" w:history="1">
        <w:r w:rsidRPr="003164EA">
          <w:rPr>
            <w:rStyle w:val="Hyperlink"/>
          </w:rPr>
          <w:t>Country Needs Assessment</w:t>
        </w:r>
      </w:hyperlink>
      <w:r w:rsidRPr="003164EA">
        <w:t xml:space="preserve"> was jointly undertaken by FCPF/World bank and the UN-REDD Programme in 2012</w:t>
      </w:r>
    </w:p>
  </w:footnote>
  <w:footnote w:id="6">
    <w:p w:rsidR="003164EA" w:rsidRDefault="003164EA">
      <w:pPr>
        <w:pStyle w:val="FootnoteText"/>
      </w:pPr>
      <w:r>
        <w:rPr>
          <w:rStyle w:val="FootnoteReference"/>
        </w:rPr>
        <w:footnoteRef/>
      </w:r>
      <w:r>
        <w:t xml:space="preserve"> </w:t>
      </w:r>
      <w:r w:rsidRPr="003164EA">
        <w:t>Targeted support is</w:t>
      </w:r>
      <w:r>
        <w:t xml:space="preserve"> a support mechanism under the </w:t>
      </w:r>
      <w:r w:rsidRPr="003164EA">
        <w:t>Support to National REDD+ Action: Global Prog</w:t>
      </w:r>
      <w:r>
        <w:t>ramme Framework 2011-2015 (SNA)</w:t>
      </w:r>
      <w:r w:rsidRPr="003164EA">
        <w:t>.</w:t>
      </w:r>
    </w:p>
  </w:footnote>
  <w:footnote w:id="7">
    <w:p w:rsidR="003164EA" w:rsidRDefault="003164EA">
      <w:pPr>
        <w:pStyle w:val="FootnoteText"/>
      </w:pPr>
      <w:r>
        <w:rPr>
          <w:rStyle w:val="FootnoteReference"/>
        </w:rPr>
        <w:footnoteRef/>
      </w:r>
      <w:r>
        <w:t xml:space="preserve"> </w:t>
      </w:r>
      <w:r w:rsidRPr="003164EA">
        <w:t>Apart from Secretariat services and knowledge management &amp; communications (SNA Outcomes 7 and 8).</w:t>
      </w:r>
    </w:p>
  </w:footnote>
  <w:footnote w:id="8">
    <w:p w:rsidR="002133D9" w:rsidRDefault="002133D9" w:rsidP="002133D9">
      <w:pPr>
        <w:pStyle w:val="FootnoteText"/>
      </w:pPr>
      <w:r>
        <w:rPr>
          <w:rStyle w:val="FootnoteReference"/>
        </w:rPr>
        <w:footnoteRef/>
      </w:r>
      <w:r>
        <w:t xml:space="preserve"> The draft Framework will be embedded in the overall SNA Monitoring Framework 2013-2014.</w:t>
      </w:r>
    </w:p>
  </w:footnote>
  <w:footnote w:id="9">
    <w:p w:rsidR="00FC0437" w:rsidRDefault="00FC0437">
      <w:pPr>
        <w:pStyle w:val="FootnoteText"/>
      </w:pPr>
      <w:r>
        <w:rPr>
          <w:rStyle w:val="FootnoteReference"/>
        </w:rPr>
        <w:footnoteRef/>
      </w:r>
      <w:r>
        <w:t xml:space="preserve"> Referring to SNA Outcomes 1, 2, 4, 5 and 6.</w:t>
      </w:r>
    </w:p>
  </w:footnote>
  <w:footnote w:id="10">
    <w:p w:rsidR="00213A44" w:rsidRDefault="00213A44">
      <w:pPr>
        <w:pStyle w:val="FootnoteText"/>
      </w:pPr>
      <w:r>
        <w:rPr>
          <w:rStyle w:val="FootnoteReference"/>
        </w:rPr>
        <w:footnoteRef/>
      </w:r>
      <w:r>
        <w:t xml:space="preserve"> </w:t>
      </w:r>
      <w:r w:rsidRPr="00213A44">
        <w:t>5% of this amount for monitoring and evaluation costs is included in the separate concept notes on “Results Based Management – Managing for Results” (SNA Outcome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314"/>
    <w:multiLevelType w:val="hybridMultilevel"/>
    <w:tmpl w:val="CA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353D"/>
    <w:multiLevelType w:val="hybridMultilevel"/>
    <w:tmpl w:val="05389382"/>
    <w:lvl w:ilvl="0" w:tplc="0DDC176C">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3B34F6"/>
    <w:multiLevelType w:val="hybridMultilevel"/>
    <w:tmpl w:val="EAD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86D70"/>
    <w:multiLevelType w:val="hybridMultilevel"/>
    <w:tmpl w:val="3C0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BE657C"/>
    <w:multiLevelType w:val="hybridMultilevel"/>
    <w:tmpl w:val="2EA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73D78"/>
    <w:multiLevelType w:val="hybridMultilevel"/>
    <w:tmpl w:val="C2CA52A4"/>
    <w:lvl w:ilvl="0" w:tplc="6382C8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B0298E"/>
    <w:multiLevelType w:val="hybridMultilevel"/>
    <w:tmpl w:val="7800FB36"/>
    <w:lvl w:ilvl="0" w:tplc="0B181B8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70A658D6"/>
    <w:multiLevelType w:val="hybridMultilevel"/>
    <w:tmpl w:val="B9D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0284B"/>
    <w:multiLevelType w:val="hybridMultilevel"/>
    <w:tmpl w:val="E884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027F1B"/>
    <w:multiLevelType w:val="hybridMultilevel"/>
    <w:tmpl w:val="24E00C9C"/>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C779FB"/>
    <w:multiLevelType w:val="hybridMultilevel"/>
    <w:tmpl w:val="B87E3648"/>
    <w:lvl w:ilvl="0" w:tplc="6382C8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2"/>
  </w:num>
  <w:num w:numId="4">
    <w:abstractNumId w:val="14"/>
  </w:num>
  <w:num w:numId="5">
    <w:abstractNumId w:val="5"/>
  </w:num>
  <w:num w:numId="6">
    <w:abstractNumId w:val="16"/>
  </w:num>
  <w:num w:numId="7">
    <w:abstractNumId w:val="8"/>
  </w:num>
  <w:num w:numId="8">
    <w:abstractNumId w:val="6"/>
  </w:num>
  <w:num w:numId="9">
    <w:abstractNumId w:val="10"/>
  </w:num>
  <w:num w:numId="10">
    <w:abstractNumId w:val="17"/>
  </w:num>
  <w:num w:numId="11">
    <w:abstractNumId w:val="1"/>
  </w:num>
  <w:num w:numId="12">
    <w:abstractNumId w:val="4"/>
  </w:num>
  <w:num w:numId="13">
    <w:abstractNumId w:val="3"/>
  </w:num>
  <w:num w:numId="14">
    <w:abstractNumId w:val="0"/>
  </w:num>
  <w:num w:numId="15">
    <w:abstractNumId w:val="12"/>
  </w:num>
  <w:num w:numId="16">
    <w:abstractNumId w:val="11"/>
  </w:num>
  <w:num w:numId="17">
    <w:abstractNumId w:val="18"/>
  </w:num>
  <w:num w:numId="18">
    <w:abstractNumId w:val="19"/>
  </w:num>
  <w:num w:numId="19">
    <w:abstractNumId w:val="13"/>
  </w:num>
  <w:num w:numId="20">
    <w:abstractNumId w:val="21"/>
  </w:num>
  <w:num w:numId="21">
    <w:abstractNumId w:val="7"/>
  </w:num>
  <w:num w:numId="22">
    <w:abstractNumId w:val="2"/>
  </w:num>
  <w:num w:numId="23">
    <w:abstractNumId w:val="9"/>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010E"/>
    <w:rsid w:val="00010BDF"/>
    <w:rsid w:val="000252F6"/>
    <w:rsid w:val="000364F5"/>
    <w:rsid w:val="00044332"/>
    <w:rsid w:val="00047DCE"/>
    <w:rsid w:val="000E3D7D"/>
    <w:rsid w:val="0011651D"/>
    <w:rsid w:val="0013756F"/>
    <w:rsid w:val="001A291E"/>
    <w:rsid w:val="001E1ED4"/>
    <w:rsid w:val="002133D9"/>
    <w:rsid w:val="00213A44"/>
    <w:rsid w:val="00240061"/>
    <w:rsid w:val="002B7913"/>
    <w:rsid w:val="002C2D34"/>
    <w:rsid w:val="003164EA"/>
    <w:rsid w:val="003615C6"/>
    <w:rsid w:val="0036590B"/>
    <w:rsid w:val="00371682"/>
    <w:rsid w:val="00393EDE"/>
    <w:rsid w:val="003958A9"/>
    <w:rsid w:val="003F0A5B"/>
    <w:rsid w:val="003F7D84"/>
    <w:rsid w:val="00403FF8"/>
    <w:rsid w:val="00446744"/>
    <w:rsid w:val="004A3DDE"/>
    <w:rsid w:val="004A6B92"/>
    <w:rsid w:val="00515309"/>
    <w:rsid w:val="00544691"/>
    <w:rsid w:val="00556F48"/>
    <w:rsid w:val="005A0452"/>
    <w:rsid w:val="005E1A58"/>
    <w:rsid w:val="006F294D"/>
    <w:rsid w:val="00712F5B"/>
    <w:rsid w:val="00715198"/>
    <w:rsid w:val="00721756"/>
    <w:rsid w:val="007A114A"/>
    <w:rsid w:val="007E2BF7"/>
    <w:rsid w:val="008C35E4"/>
    <w:rsid w:val="008D79A2"/>
    <w:rsid w:val="00906FE7"/>
    <w:rsid w:val="00907379"/>
    <w:rsid w:val="00917BDA"/>
    <w:rsid w:val="0092010E"/>
    <w:rsid w:val="009479A1"/>
    <w:rsid w:val="00964A4F"/>
    <w:rsid w:val="0098675D"/>
    <w:rsid w:val="00986F65"/>
    <w:rsid w:val="009E71B3"/>
    <w:rsid w:val="00A15EC0"/>
    <w:rsid w:val="00AA2D68"/>
    <w:rsid w:val="00AA55E3"/>
    <w:rsid w:val="00AA59B9"/>
    <w:rsid w:val="00B33B2E"/>
    <w:rsid w:val="00B61CB3"/>
    <w:rsid w:val="00BB2349"/>
    <w:rsid w:val="00BC5132"/>
    <w:rsid w:val="00BD21F8"/>
    <w:rsid w:val="00BE4F2F"/>
    <w:rsid w:val="00BE6F8F"/>
    <w:rsid w:val="00C241E7"/>
    <w:rsid w:val="00C448DB"/>
    <w:rsid w:val="00CA40F8"/>
    <w:rsid w:val="00CA66B5"/>
    <w:rsid w:val="00DD200C"/>
    <w:rsid w:val="00DD4C55"/>
    <w:rsid w:val="00DD4E19"/>
    <w:rsid w:val="00E01B05"/>
    <w:rsid w:val="00E143BE"/>
    <w:rsid w:val="00E70879"/>
    <w:rsid w:val="00E92DF0"/>
    <w:rsid w:val="00E9500B"/>
    <w:rsid w:val="00EA7024"/>
    <w:rsid w:val="00EB7A93"/>
    <w:rsid w:val="00EC3B85"/>
    <w:rsid w:val="00EC7069"/>
    <w:rsid w:val="00F13BA6"/>
    <w:rsid w:val="00F15C94"/>
    <w:rsid w:val="00F5220D"/>
    <w:rsid w:val="00F66E35"/>
    <w:rsid w:val="00FC0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redd.net/index.php?option=com_docman&amp;task=doc_download&amp;gid=4598&amp;Itemid=5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redd.net/index.php?option=com_docman&amp;task=doc_download&amp;gid=8349&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139A-4C90-44BC-BEA8-49C30069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kowalzik</cp:lastModifiedBy>
  <cp:revision>2</cp:revision>
  <dcterms:created xsi:type="dcterms:W3CDTF">2013-11-11T11:49:00Z</dcterms:created>
  <dcterms:modified xsi:type="dcterms:W3CDTF">2013-11-11T11:49:00Z</dcterms:modified>
</cp:coreProperties>
</file>