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49" w:rsidRDefault="00D02E49" w:rsidP="004F1BAB">
      <w:pPr>
        <w:pStyle w:val="Header"/>
        <w:tabs>
          <w:tab w:val="clear" w:pos="4680"/>
          <w:tab w:val="clear" w:pos="9360"/>
        </w:tabs>
        <w:jc w:val="center"/>
        <w:rPr>
          <w:b/>
        </w:rPr>
      </w:pPr>
      <w:r>
        <w:rPr>
          <w:b/>
        </w:rPr>
        <w:t xml:space="preserve">Annex </w:t>
      </w:r>
      <w:r w:rsidR="00EB7C57">
        <w:rPr>
          <w:b/>
        </w:rPr>
        <w:t>2</w:t>
      </w:r>
      <w:r>
        <w:rPr>
          <w:b/>
        </w:rPr>
        <w:t>:</w:t>
      </w:r>
    </w:p>
    <w:p w:rsidR="00EF7642" w:rsidRPr="00D02E49" w:rsidRDefault="00D02E49" w:rsidP="004F1BAB">
      <w:pPr>
        <w:pStyle w:val="Header"/>
        <w:jc w:val="center"/>
        <w:rPr>
          <w:b/>
        </w:rPr>
      </w:pPr>
      <w:r>
        <w:rPr>
          <w:b/>
        </w:rPr>
        <w:t>Responsibilities &amp; Specialized Technical Services</w:t>
      </w:r>
      <w:r w:rsidR="004F1BAB">
        <w:rPr>
          <w:b/>
        </w:rPr>
        <w:t xml:space="preserve"> for </w:t>
      </w:r>
      <w:r w:rsidR="0048055E">
        <w:rPr>
          <w:b/>
        </w:rPr>
        <w:t>Targeted Support to National REDD+ Readiness</w:t>
      </w:r>
    </w:p>
    <w:p w:rsidR="00D02E49" w:rsidRDefault="00D02E49" w:rsidP="00D02E49">
      <w:pPr>
        <w:pStyle w:val="NoSpacing"/>
        <w:spacing w:before="240" w:after="480"/>
        <w:jc w:val="both"/>
        <w:rPr>
          <w:sz w:val="20"/>
          <w:szCs w:val="20"/>
        </w:rPr>
      </w:pPr>
      <w:r>
        <w:rPr>
          <w:sz w:val="20"/>
          <w:szCs w:val="20"/>
        </w:rPr>
        <w:t>In order to meet UNDP’s obligations under the UN-REDD Programme and to ensure consistent standards are applied to all UNDP activities related to REDD+, EEG requires the following Specialized Technical Services (STS) to be undertaken.  The cost of STS is not covered by</w:t>
      </w:r>
      <w:r w:rsidR="004C0BE1">
        <w:rPr>
          <w:sz w:val="20"/>
          <w:szCs w:val="20"/>
        </w:rPr>
        <w:t xml:space="preserve"> </w:t>
      </w:r>
      <w:r w:rsidR="00DC63E0">
        <w:rPr>
          <w:sz w:val="20"/>
          <w:szCs w:val="20"/>
        </w:rPr>
        <w:t>the Targeted Support funds</w:t>
      </w:r>
      <w:r>
        <w:rPr>
          <w:sz w:val="20"/>
          <w:szCs w:val="20"/>
        </w:rPr>
        <w:t xml:space="preserve">.  </w:t>
      </w:r>
      <w:r w:rsidR="006C63DB">
        <w:rPr>
          <w:sz w:val="20"/>
          <w:szCs w:val="20"/>
        </w:rPr>
        <w:t xml:space="preserve">For </w:t>
      </w:r>
      <w:r w:rsidR="0048055E">
        <w:rPr>
          <w:sz w:val="20"/>
          <w:szCs w:val="20"/>
        </w:rPr>
        <w:t xml:space="preserve">targeted support to </w:t>
      </w:r>
      <w:r w:rsidR="009B1F6C">
        <w:rPr>
          <w:sz w:val="20"/>
          <w:szCs w:val="20"/>
        </w:rPr>
        <w:t>Nepal</w:t>
      </w:r>
      <w:r w:rsidR="00673DBF">
        <w:rPr>
          <w:sz w:val="20"/>
          <w:szCs w:val="20"/>
        </w:rPr>
        <w:t>,</w:t>
      </w:r>
      <w:r w:rsidR="0098063D">
        <w:rPr>
          <w:sz w:val="20"/>
          <w:szCs w:val="20"/>
        </w:rPr>
        <w:t xml:space="preserve"> </w:t>
      </w:r>
      <w:r>
        <w:rPr>
          <w:sz w:val="20"/>
          <w:szCs w:val="20"/>
        </w:rPr>
        <w:t>the cost of STS is charged to UNDP’s allocation under the “Support to National REDD+ Actions – global programme 2011-2015”</w:t>
      </w:r>
      <w:r w:rsidR="006C63DB">
        <w:rPr>
          <w:sz w:val="20"/>
          <w:szCs w:val="20"/>
        </w:rPr>
        <w:t>.</w:t>
      </w:r>
    </w:p>
    <w:tbl>
      <w:tblPr>
        <w:tblStyle w:val="TableGrid"/>
        <w:tblW w:w="0" w:type="auto"/>
        <w:tblLook w:val="04A0"/>
      </w:tblPr>
      <w:tblGrid>
        <w:gridCol w:w="2538"/>
        <w:gridCol w:w="6930"/>
      </w:tblGrid>
      <w:tr w:rsidR="000A425D" w:rsidRPr="00557FE3">
        <w:trPr>
          <w:tblHeader/>
        </w:trPr>
        <w:tc>
          <w:tcPr>
            <w:tcW w:w="2538" w:type="dxa"/>
          </w:tcPr>
          <w:p w:rsidR="000A425D" w:rsidRPr="00557FE3" w:rsidRDefault="000A425D" w:rsidP="00EF7642">
            <w:pPr>
              <w:pStyle w:val="NoSpacing"/>
              <w:spacing w:before="120"/>
              <w:jc w:val="center"/>
              <w:rPr>
                <w:b/>
              </w:rPr>
            </w:pPr>
            <w:r>
              <w:rPr>
                <w:b/>
              </w:rPr>
              <w:t>Stage</w:t>
            </w:r>
            <w:r w:rsidRPr="00557FE3">
              <w:rPr>
                <w:b/>
              </w:rPr>
              <w:t xml:space="preserve"> of the Project</w:t>
            </w:r>
            <w:r>
              <w:rPr>
                <w:rStyle w:val="FootnoteReference"/>
              </w:rPr>
              <w:footnoteReference w:id="1"/>
            </w:r>
            <w:r w:rsidRPr="00557FE3">
              <w:rPr>
                <w:b/>
              </w:rPr>
              <w:t xml:space="preserve"> Cycle</w:t>
            </w:r>
          </w:p>
        </w:tc>
        <w:tc>
          <w:tcPr>
            <w:tcW w:w="6930" w:type="dxa"/>
          </w:tcPr>
          <w:p w:rsidR="000A425D" w:rsidRPr="00557FE3" w:rsidRDefault="000A425D" w:rsidP="004F1BAB">
            <w:pPr>
              <w:pStyle w:val="NoSpacing"/>
              <w:spacing w:before="120"/>
              <w:jc w:val="center"/>
              <w:rPr>
                <w:b/>
              </w:rPr>
            </w:pPr>
            <w:r>
              <w:rPr>
                <w:b/>
              </w:rPr>
              <w:t>Specializ</w:t>
            </w:r>
            <w:r w:rsidRPr="00557FE3">
              <w:rPr>
                <w:b/>
              </w:rPr>
              <w:t>e</w:t>
            </w:r>
            <w:r>
              <w:rPr>
                <w:b/>
              </w:rPr>
              <w:t>d</w:t>
            </w:r>
            <w:r w:rsidRPr="00557FE3">
              <w:rPr>
                <w:b/>
              </w:rPr>
              <w:t xml:space="preserve"> Technical Services</w:t>
            </w:r>
            <w:r>
              <w:rPr>
                <w:b/>
              </w:rPr>
              <w:br/>
            </w:r>
            <w:r w:rsidRPr="00557FE3">
              <w:rPr>
                <w:b/>
              </w:rPr>
              <w:t>EEG REDD Team</w:t>
            </w:r>
            <w:r w:rsidRPr="00557FE3">
              <w:rPr>
                <w:rStyle w:val="FootnoteReference"/>
                <w:b/>
              </w:rPr>
              <w:footnoteReference w:id="2"/>
            </w:r>
          </w:p>
        </w:tc>
      </w:tr>
      <w:tr w:rsidR="004C0BE1">
        <w:tc>
          <w:tcPr>
            <w:tcW w:w="2538" w:type="dxa"/>
          </w:tcPr>
          <w:p w:rsidR="004C0BE1" w:rsidRDefault="004C0BE1" w:rsidP="00EF7642">
            <w:pPr>
              <w:pStyle w:val="NoSpacing"/>
              <w:spacing w:before="120"/>
              <w:jc w:val="both"/>
            </w:pPr>
            <w:r>
              <w:t>Implementation</w:t>
            </w:r>
          </w:p>
        </w:tc>
        <w:tc>
          <w:tcPr>
            <w:tcW w:w="6930" w:type="dxa"/>
          </w:tcPr>
          <w:p w:rsidR="004C0BE1" w:rsidRDefault="004C0BE1" w:rsidP="004C0BE1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46"/>
              <w:rPr>
                <w:rFonts w:asciiTheme="minorHAnsi" w:hAnsiTheme="minorHAnsi" w:cs="Arial"/>
              </w:rPr>
            </w:pPr>
            <w:r w:rsidRPr="004C4A34">
              <w:rPr>
                <w:rFonts w:asciiTheme="minorHAnsi" w:hAnsiTheme="minorHAnsi" w:cs="Arial"/>
              </w:rPr>
              <w:t xml:space="preserve">General oversight and monitoring, including </w:t>
            </w:r>
            <w:r>
              <w:rPr>
                <w:rFonts w:asciiTheme="minorHAnsi" w:hAnsiTheme="minorHAnsi" w:cs="Arial"/>
              </w:rPr>
              <w:t>the provision of UNDP project assurance as set out in the POPP</w:t>
            </w:r>
          </w:p>
          <w:p w:rsidR="004C0BE1" w:rsidRDefault="004C0BE1" w:rsidP="004C0BE1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46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Monitors progress of key activities as defined in the concept note</w:t>
            </w:r>
          </w:p>
          <w:p w:rsidR="004C0BE1" w:rsidRPr="004C4A34" w:rsidRDefault="004C0BE1" w:rsidP="004C0BE1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Prepares and submits financial reports</w:t>
            </w:r>
          </w:p>
          <w:p w:rsidR="004C0BE1" w:rsidRDefault="004C0BE1" w:rsidP="004C0BE1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40"/>
              <w:rPr>
                <w:rFonts w:asciiTheme="minorHAnsi" w:hAnsiTheme="minorHAnsi" w:cs="Arial"/>
              </w:rPr>
            </w:pPr>
            <w:r w:rsidRPr="004C4A34">
              <w:rPr>
                <w:rFonts w:asciiTheme="minorHAnsi" w:hAnsiTheme="minorHAnsi" w:cs="Arial"/>
              </w:rPr>
              <w:t>S</w:t>
            </w:r>
            <w:r>
              <w:rPr>
                <w:rFonts w:asciiTheme="minorHAnsi" w:hAnsiTheme="minorHAnsi" w:cs="Arial"/>
              </w:rPr>
              <w:t>upports the project’s s</w:t>
            </w:r>
            <w:r w:rsidRPr="004C4A34">
              <w:rPr>
                <w:rFonts w:asciiTheme="minorHAnsi" w:hAnsiTheme="minorHAnsi" w:cs="Arial"/>
              </w:rPr>
              <w:t>ystems, IT infrastructure, branding, knowledge transfer</w:t>
            </w:r>
          </w:p>
          <w:p w:rsidR="004C0BE1" w:rsidRDefault="004C0BE1" w:rsidP="00D02E49">
            <w:pPr>
              <w:pStyle w:val="NoSpacing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19"/>
            </w:pPr>
            <w:r>
              <w:t>Builds the capacity of the Country Office and the national implementing partners in the REDD+ domain</w:t>
            </w:r>
          </w:p>
          <w:p w:rsidR="004C0BE1" w:rsidRDefault="004C0BE1" w:rsidP="00D02E49">
            <w:pPr>
              <w:pStyle w:val="NoSpacing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19"/>
            </w:pPr>
            <w:r>
              <w:t>Prepares regular Mission Reports</w:t>
            </w:r>
          </w:p>
          <w:p w:rsidR="004C0BE1" w:rsidRDefault="004C0BE1" w:rsidP="00D02E49">
            <w:pPr>
              <w:pStyle w:val="NoSpacing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19"/>
            </w:pPr>
            <w:r>
              <w:t>Provides technical input and support to TOR development</w:t>
            </w:r>
          </w:p>
          <w:p w:rsidR="004C0BE1" w:rsidRDefault="004C0BE1" w:rsidP="00D02E49">
            <w:pPr>
              <w:pStyle w:val="NoSpacing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19"/>
            </w:pPr>
            <w:r>
              <w:t>Provides troubleshooting technical support</w:t>
            </w:r>
          </w:p>
          <w:p w:rsidR="004C0BE1" w:rsidRDefault="004C0BE1" w:rsidP="00D02E49">
            <w:pPr>
              <w:pStyle w:val="NoSpacing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19"/>
            </w:pPr>
            <w:r>
              <w:t>Works with UN-REDD colleagues in FAO and UNEP to ensure the coordination of activities</w:t>
            </w:r>
          </w:p>
          <w:p w:rsidR="004C0BE1" w:rsidRDefault="004C0BE1" w:rsidP="00D02E49">
            <w:pPr>
              <w:pStyle w:val="NoSpacing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19"/>
            </w:pPr>
            <w:r>
              <w:t>Contributes lessons and experiences from other UNDP REDD+ related programming and from other REDD+ initiatives</w:t>
            </w:r>
          </w:p>
          <w:p w:rsidR="004C0BE1" w:rsidRDefault="004C0BE1" w:rsidP="00D02E49">
            <w:pPr>
              <w:pStyle w:val="NoSpacing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19"/>
            </w:pPr>
            <w:r>
              <w:t>Provides operational guidance on UN-REDD requirements and guidance</w:t>
            </w:r>
          </w:p>
          <w:p w:rsidR="004C0BE1" w:rsidRDefault="004C0BE1" w:rsidP="00D02E49">
            <w:pPr>
              <w:pStyle w:val="NoSpacing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19"/>
            </w:pPr>
            <w:r>
              <w:t>Contributes technical input and quality assurance to monitoring, reporting and evaluations</w:t>
            </w:r>
          </w:p>
          <w:p w:rsidR="004C0BE1" w:rsidRDefault="004C0BE1" w:rsidP="00D02E49">
            <w:pPr>
              <w:pStyle w:val="NoSpacing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19"/>
            </w:pPr>
            <w:r>
              <w:t>Prepares technical analysis, compilation of lessons, dissemination of technical findings</w:t>
            </w:r>
          </w:p>
          <w:p w:rsidR="004C0BE1" w:rsidRDefault="004C0BE1" w:rsidP="00D02E49">
            <w:pPr>
              <w:pStyle w:val="NoSpacing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19"/>
            </w:pPr>
            <w:r>
              <w:t>P</w:t>
            </w:r>
            <w:r w:rsidR="0098063D">
              <w:t>re</w:t>
            </w:r>
            <w:r>
              <w:t>pares, review</w:t>
            </w:r>
            <w:r w:rsidR="0098063D">
              <w:t>s</w:t>
            </w:r>
            <w:r>
              <w:t xml:space="preserve"> and clears progress reports before submitting them to UN-REDD</w:t>
            </w:r>
          </w:p>
        </w:tc>
      </w:tr>
      <w:tr w:rsidR="004C0BE1">
        <w:tc>
          <w:tcPr>
            <w:tcW w:w="2538" w:type="dxa"/>
          </w:tcPr>
          <w:p w:rsidR="004C0BE1" w:rsidRDefault="004C0BE1" w:rsidP="00EF7642">
            <w:pPr>
              <w:pStyle w:val="NoSpacing"/>
              <w:spacing w:before="120"/>
              <w:jc w:val="both"/>
            </w:pPr>
            <w:r>
              <w:t>Evaluation and Completion</w:t>
            </w:r>
          </w:p>
        </w:tc>
        <w:tc>
          <w:tcPr>
            <w:tcW w:w="6930" w:type="dxa"/>
          </w:tcPr>
          <w:p w:rsidR="004C0BE1" w:rsidRDefault="004C0BE1" w:rsidP="00D02E49">
            <w:pPr>
              <w:pStyle w:val="NoSpacing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19"/>
            </w:pPr>
            <w:r>
              <w:t>Liaises with UN-REDD colleagues</w:t>
            </w:r>
          </w:p>
          <w:p w:rsidR="004C0BE1" w:rsidRDefault="004C0BE1" w:rsidP="00D02E49">
            <w:pPr>
              <w:pStyle w:val="NoSpacing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19"/>
            </w:pPr>
            <w:r>
              <w:t>Ensures any evaluation is undertaken in accordance with UN-REDD requirements and guidance</w:t>
            </w:r>
          </w:p>
          <w:p w:rsidR="004C0BE1" w:rsidRDefault="004C0BE1" w:rsidP="00D02E49">
            <w:pPr>
              <w:pStyle w:val="NoSpacing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19"/>
            </w:pPr>
            <w:r>
              <w:t>Ensures the project is closed in accordance with UN-REDD requirements</w:t>
            </w:r>
          </w:p>
        </w:tc>
      </w:tr>
    </w:tbl>
    <w:p w:rsidR="00D02E49" w:rsidRPr="00D02E49" w:rsidRDefault="00D02E49"/>
    <w:sectPr w:rsidR="00D02E49" w:rsidRPr="00D02E49" w:rsidSect="00737916">
      <w:headerReference w:type="default" r:id="rId7"/>
      <w:footerReference w:type="default" r:id="rId8"/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BE1" w:rsidRDefault="004C0BE1" w:rsidP="00D02E49">
      <w:pPr>
        <w:spacing w:after="0" w:line="240" w:lineRule="auto"/>
      </w:pPr>
      <w:r>
        <w:separator/>
      </w:r>
    </w:p>
  </w:endnote>
  <w:endnote w:type="continuationSeparator" w:id="0">
    <w:p w:rsidR="004C0BE1" w:rsidRDefault="004C0BE1" w:rsidP="00D0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3050602040202020205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97997"/>
      <w:docPartObj>
        <w:docPartGallery w:val="Page Numbers (Bottom of Page)"/>
        <w:docPartUnique/>
      </w:docPartObj>
    </w:sdtPr>
    <w:sdtContent>
      <w:p w:rsidR="004C0BE1" w:rsidRDefault="00B00738">
        <w:pPr>
          <w:pStyle w:val="Footer"/>
          <w:jc w:val="right"/>
        </w:pPr>
        <w:fldSimple w:instr=" PAGE   \* MERGEFORMAT ">
          <w:r w:rsidR="009B1F6C">
            <w:rPr>
              <w:noProof/>
            </w:rPr>
            <w:t>1</w:t>
          </w:r>
        </w:fldSimple>
      </w:p>
    </w:sdtContent>
  </w:sdt>
  <w:p w:rsidR="004C0BE1" w:rsidRDefault="004C0BE1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BE1" w:rsidRDefault="004C0BE1" w:rsidP="00D02E49">
      <w:pPr>
        <w:spacing w:after="0" w:line="240" w:lineRule="auto"/>
      </w:pPr>
      <w:r>
        <w:separator/>
      </w:r>
    </w:p>
  </w:footnote>
  <w:footnote w:type="continuationSeparator" w:id="0">
    <w:p w:rsidR="004C0BE1" w:rsidRDefault="004C0BE1" w:rsidP="00D02E49">
      <w:pPr>
        <w:spacing w:after="0" w:line="240" w:lineRule="auto"/>
      </w:pPr>
      <w:r>
        <w:continuationSeparator/>
      </w:r>
    </w:p>
  </w:footnote>
  <w:footnote w:id="1">
    <w:p w:rsidR="004C0BE1" w:rsidRPr="008C6CB0" w:rsidRDefault="004C0BE1" w:rsidP="006C63DB">
      <w:pPr>
        <w:pStyle w:val="FootnoteText"/>
        <w:rPr>
          <w:sz w:val="18"/>
          <w:szCs w:val="18"/>
        </w:rPr>
      </w:pPr>
      <w:r w:rsidRPr="008C6CB0">
        <w:rPr>
          <w:rStyle w:val="FootnoteReference"/>
          <w:sz w:val="18"/>
          <w:szCs w:val="18"/>
        </w:rPr>
        <w:footnoteRef/>
      </w:r>
      <w:r w:rsidRPr="008C6CB0">
        <w:rPr>
          <w:sz w:val="18"/>
          <w:szCs w:val="18"/>
        </w:rPr>
        <w:t xml:space="preserve"> “Project” refers to </w:t>
      </w:r>
      <w:r>
        <w:rPr>
          <w:sz w:val="18"/>
          <w:szCs w:val="18"/>
        </w:rPr>
        <w:t xml:space="preserve">the basis of </w:t>
      </w:r>
      <w:proofErr w:type="spellStart"/>
      <w:r>
        <w:rPr>
          <w:sz w:val="18"/>
          <w:szCs w:val="18"/>
        </w:rPr>
        <w:t>UNDP’s</w:t>
      </w:r>
      <w:proofErr w:type="spellEnd"/>
      <w:r>
        <w:rPr>
          <w:sz w:val="18"/>
          <w:szCs w:val="18"/>
        </w:rPr>
        <w:t xml:space="preserve"> support under the UN-REDD </w:t>
      </w:r>
      <w:proofErr w:type="spellStart"/>
      <w:r>
        <w:rPr>
          <w:sz w:val="18"/>
          <w:szCs w:val="18"/>
        </w:rPr>
        <w:t>Programme</w:t>
      </w:r>
      <w:proofErr w:type="spellEnd"/>
      <w:r>
        <w:rPr>
          <w:sz w:val="18"/>
          <w:szCs w:val="18"/>
        </w:rPr>
        <w:t xml:space="preserve">.  For the </w:t>
      </w:r>
      <w:r w:rsidR="00DF0F5D">
        <w:rPr>
          <w:sz w:val="18"/>
          <w:szCs w:val="18"/>
        </w:rPr>
        <w:t>targeted support</w:t>
      </w:r>
      <w:r>
        <w:rPr>
          <w:sz w:val="18"/>
          <w:szCs w:val="18"/>
        </w:rPr>
        <w:t xml:space="preserve">, it refers to a transfer of funds from the “Support to National REDD+ Actions – global </w:t>
      </w:r>
      <w:proofErr w:type="spellStart"/>
      <w:r>
        <w:rPr>
          <w:sz w:val="18"/>
          <w:szCs w:val="18"/>
        </w:rPr>
        <w:t>programme</w:t>
      </w:r>
      <w:proofErr w:type="spellEnd"/>
      <w:r>
        <w:rPr>
          <w:sz w:val="18"/>
          <w:szCs w:val="18"/>
        </w:rPr>
        <w:t>”</w:t>
      </w:r>
      <w:r>
        <w:rPr>
          <w:rStyle w:val="FootnoteReference"/>
          <w:sz w:val="18"/>
          <w:szCs w:val="18"/>
        </w:rPr>
        <w:t xml:space="preserve"> </w:t>
      </w:r>
      <w:r>
        <w:rPr>
          <w:sz w:val="18"/>
          <w:szCs w:val="18"/>
        </w:rPr>
        <w:t xml:space="preserve">that will be </w:t>
      </w:r>
      <w:r w:rsidR="00DF0F5D">
        <w:rPr>
          <w:sz w:val="18"/>
          <w:szCs w:val="18"/>
        </w:rPr>
        <w:t>implemented via requisitions from UNOPS.</w:t>
      </w:r>
    </w:p>
  </w:footnote>
  <w:footnote w:id="2">
    <w:p w:rsidR="004C0BE1" w:rsidRPr="00E310B5" w:rsidRDefault="004C0BE1" w:rsidP="00D02E49">
      <w:pPr>
        <w:pStyle w:val="FootnoteText"/>
        <w:rPr>
          <w:sz w:val="18"/>
          <w:szCs w:val="18"/>
        </w:rPr>
      </w:pPr>
      <w:r w:rsidRPr="00E310B5">
        <w:rPr>
          <w:rStyle w:val="FootnoteReference"/>
          <w:sz w:val="18"/>
          <w:szCs w:val="18"/>
        </w:rPr>
        <w:footnoteRef/>
      </w:r>
      <w:r w:rsidRPr="00E310B5">
        <w:rPr>
          <w:sz w:val="18"/>
          <w:szCs w:val="18"/>
        </w:rPr>
        <w:t xml:space="preserve"> Including Regional Technical Advisors in Regional </w:t>
      </w:r>
      <w:proofErr w:type="spellStart"/>
      <w:r w:rsidRPr="00E310B5">
        <w:rPr>
          <w:sz w:val="18"/>
          <w:szCs w:val="18"/>
        </w:rPr>
        <w:t>Centres</w:t>
      </w:r>
      <w:proofErr w:type="spellEnd"/>
      <w:r w:rsidRPr="00E310B5">
        <w:rPr>
          <w:sz w:val="18"/>
          <w:szCs w:val="18"/>
        </w:rPr>
        <w:t xml:space="preserve"> and Advisors/Analysts in New York, Geneva and the Oslo Governance Centre</w:t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BE1" w:rsidRDefault="004C0BE1">
    <w:pPr>
      <w:pStyle w:val="Header"/>
    </w:pPr>
    <w:r w:rsidRPr="00D02E49">
      <w:rPr>
        <w:noProof/>
      </w:rPr>
      <w:drawing>
        <wp:inline distT="0" distB="0" distL="0" distR="0">
          <wp:extent cx="571500" cy="1193800"/>
          <wp:effectExtent l="0" t="0" r="0" b="0"/>
          <wp:docPr id="10" name="Picture 1" descr="Description: cid:image001.png@01CC88DA.2F3879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Description: cid:image001.png@01CC88DA.2F387920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1193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 w:rsidRPr="00D02E49">
      <w:rPr>
        <w:noProof/>
      </w:rPr>
      <w:drawing>
        <wp:inline distT="0" distB="0" distL="0" distR="0">
          <wp:extent cx="960120" cy="839350"/>
          <wp:effectExtent l="19050" t="0" r="0" b="0"/>
          <wp:docPr id="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-REDD 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60120" cy="839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D7364"/>
    <w:multiLevelType w:val="hybridMultilevel"/>
    <w:tmpl w:val="E1B0A9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47114AC"/>
    <w:multiLevelType w:val="hybridMultilevel"/>
    <w:tmpl w:val="F544C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9B4087"/>
    <w:multiLevelType w:val="hybridMultilevel"/>
    <w:tmpl w:val="BBE00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E49"/>
    <w:rsid w:val="000A425D"/>
    <w:rsid w:val="000F3BD1"/>
    <w:rsid w:val="00146F39"/>
    <w:rsid w:val="00160D06"/>
    <w:rsid w:val="001B10A7"/>
    <w:rsid w:val="00304A09"/>
    <w:rsid w:val="004328E2"/>
    <w:rsid w:val="004441E1"/>
    <w:rsid w:val="0048055E"/>
    <w:rsid w:val="004C0BE1"/>
    <w:rsid w:val="004F1BAB"/>
    <w:rsid w:val="00673DBF"/>
    <w:rsid w:val="006B4304"/>
    <w:rsid w:val="006C63DB"/>
    <w:rsid w:val="006F6F60"/>
    <w:rsid w:val="00710E59"/>
    <w:rsid w:val="00737916"/>
    <w:rsid w:val="008A4704"/>
    <w:rsid w:val="008D5F37"/>
    <w:rsid w:val="0098063D"/>
    <w:rsid w:val="009B1F6C"/>
    <w:rsid w:val="009B31D9"/>
    <w:rsid w:val="00B00738"/>
    <w:rsid w:val="00BB214B"/>
    <w:rsid w:val="00D02E49"/>
    <w:rsid w:val="00D84689"/>
    <w:rsid w:val="00DB75FB"/>
    <w:rsid w:val="00DC63E0"/>
    <w:rsid w:val="00DF0F5D"/>
    <w:rsid w:val="00EA6C44"/>
    <w:rsid w:val="00EB7C57"/>
    <w:rsid w:val="00EF7642"/>
  </w:rsids>
  <m:mathPr>
    <m:mathFont m:val="SimSun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91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D02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66C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link w:val="BalloonText"/>
    <w:uiPriority w:val="99"/>
    <w:semiHidden/>
    <w:rsid w:val="0027466C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link w:val="BalloonText"/>
    <w:uiPriority w:val="99"/>
    <w:semiHidden/>
    <w:rsid w:val="007732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2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E49"/>
  </w:style>
  <w:style w:type="paragraph" w:styleId="Footer">
    <w:name w:val="footer"/>
    <w:basedOn w:val="Normal"/>
    <w:link w:val="FooterChar"/>
    <w:uiPriority w:val="99"/>
    <w:unhideWhenUsed/>
    <w:rsid w:val="00D02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E49"/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D02E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2E49"/>
    <w:pPr>
      <w:spacing w:after="0" w:line="240" w:lineRule="auto"/>
    </w:pPr>
    <w:rPr>
      <w:rFonts w:eastAsiaTheme="minorEastAsia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2E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2E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2E49"/>
    <w:rPr>
      <w:vertAlign w:val="superscript"/>
    </w:rPr>
  </w:style>
  <w:style w:type="table" w:styleId="TableGrid">
    <w:name w:val="Table Grid"/>
    <w:basedOn w:val="TableNormal"/>
    <w:uiPriority w:val="99"/>
    <w:rsid w:val="00D02E4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C0B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E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E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E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E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BDP/GEF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tim.clairs</dc:creator>
  <cp:lastModifiedBy>Elspeth Halverson</cp:lastModifiedBy>
  <cp:revision>2</cp:revision>
  <cp:lastPrinted>2012-04-03T09:50:00Z</cp:lastPrinted>
  <dcterms:created xsi:type="dcterms:W3CDTF">2012-07-24T19:50:00Z</dcterms:created>
  <dcterms:modified xsi:type="dcterms:W3CDTF">2012-07-24T19:50:00Z</dcterms:modified>
</cp:coreProperties>
</file>