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0E" w:rsidRPr="00F13D55" w:rsidRDefault="00955BD4" w:rsidP="0092010E">
      <w:p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-409575</wp:posOffset>
                </wp:positionV>
                <wp:extent cx="272415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4" w:rsidRDefault="008B4BA4" w:rsidP="00162D85">
                            <w:pPr>
                              <w:pStyle w:val="FootnoteText"/>
                            </w:pPr>
                            <w:bookmarkStart w:id="0" w:name="_GoBack"/>
                            <w:bookmarkEnd w:id="0"/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Background note on top</w:t>
                            </w:r>
                            <w:r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up funding requirements under the </w:t>
                            </w:r>
                            <w:r w:rsidRPr="008843D5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Support to National REDD+ Action: </w:t>
                            </w:r>
                            <w:r w:rsidRPr="008843D5"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Global Programme Framework 2011-2015 (SNA).</w:t>
                            </w:r>
                          </w:p>
                          <w:p w:rsidR="008B4BA4" w:rsidRPr="00460EFD" w:rsidRDefault="008B4BA4" w:rsidP="0092010E">
                            <w:pPr>
                              <w:spacing w:after="0"/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B4BA4" w:rsidRDefault="008B4BA4" w:rsidP="00920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-32.25pt;width:214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" stroked="f">
                <v:textbox>
                  <w:txbxContent>
                    <w:p w:rsidR="008B4BA4" w:rsidRDefault="008B4BA4" w:rsidP="00162D85">
                      <w:pPr>
                        <w:pStyle w:val="FootnoteText"/>
                      </w:pPr>
                      <w:bookmarkStart w:id="1" w:name="_GoBack"/>
                      <w:bookmarkEnd w:id="1"/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Background note on top</w:t>
                      </w:r>
                      <w:r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up funding requirements under the </w:t>
                      </w:r>
                      <w:r w:rsidRPr="008843D5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Support to National REDD+ Action: </w:t>
                      </w:r>
                      <w:r w:rsidRPr="008843D5">
                        <w:rPr>
                          <w:rFonts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  <w:t>Global Programme Framework 2011-2015 (SNA).</w:t>
                      </w:r>
                    </w:p>
                    <w:p w:rsidR="008B4BA4" w:rsidRPr="00460EFD" w:rsidRDefault="008B4BA4" w:rsidP="0092010E">
                      <w:pPr>
                        <w:spacing w:after="0"/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B4BA4" w:rsidRDefault="008B4BA4" w:rsidP="0092010E"/>
                  </w:txbxContent>
                </v:textbox>
              </v:shape>
            </w:pict>
          </mc:Fallback>
        </mc:AlternateContent>
      </w:r>
      <w:r w:rsidR="0098675D" w:rsidRPr="00F13D5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657350" cy="1247140"/>
            <wp:effectExtent l="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10E" w:rsidRPr="00F13D55" w:rsidRDefault="0092010E" w:rsidP="0092010E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</w:p>
    <w:p w:rsidR="0092010E" w:rsidRPr="00F13D55" w:rsidRDefault="00955BD4" w:rsidP="0092010E">
      <w:pPr>
        <w:rPr>
          <w:b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5080</wp:posOffset>
                </wp:positionV>
                <wp:extent cx="4838700" cy="685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4" w:rsidRDefault="008B4BA4" w:rsidP="00162D85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11D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Result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Pr="00D5511D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-Based Management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Managing for Results</w:t>
                            </w:r>
                          </w:p>
                          <w:p w:rsidR="008B4BA4" w:rsidRPr="00EE363F" w:rsidRDefault="008B4BA4" w:rsidP="00162D85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(T</w:t>
                            </w:r>
                            <w:r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op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up amount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and M&amp;E support</w:t>
                            </w:r>
                            <w:r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:rsidR="008B4BA4" w:rsidRPr="0092010E" w:rsidRDefault="008B4BA4" w:rsidP="00920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3pt;margin-top:.4pt;width:38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" stroked="f">
                <v:textbox>
                  <w:txbxContent>
                    <w:p w:rsidR="00162D85" w:rsidRDefault="00162D85" w:rsidP="00162D85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5511D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Result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Pr="00D5511D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-Based Management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– Managing for Results</w:t>
                      </w:r>
                    </w:p>
                    <w:p w:rsidR="00162D85" w:rsidRPr="00EE363F" w:rsidRDefault="00162D85" w:rsidP="00162D85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(T</w:t>
                      </w:r>
                      <w:r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op</w:t>
                      </w: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up amount </w:t>
                      </w: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and M&amp;E support</w:t>
                      </w:r>
                      <w:r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) </w:t>
                      </w:r>
                    </w:p>
                    <w:p w:rsidR="0092010E" w:rsidRPr="0092010E" w:rsidRDefault="0092010E" w:rsidP="0092010E"/>
                  </w:txbxContent>
                </v:textbox>
              </v:shape>
            </w:pict>
          </mc:Fallback>
        </mc:AlternateContent>
      </w:r>
      <w:r w:rsidR="0092010E" w:rsidRPr="00F13D55">
        <w:rPr>
          <w:b/>
          <w:i/>
          <w:color w:val="000000" w:themeColor="text1"/>
          <w:sz w:val="28"/>
          <w:szCs w:val="28"/>
        </w:rPr>
        <w:t xml:space="preserve">   </w:t>
      </w:r>
      <w:r w:rsidR="0092010E" w:rsidRPr="00F13D55">
        <w:rPr>
          <w:b/>
          <w:i/>
          <w:color w:val="000000" w:themeColor="text1"/>
          <w:sz w:val="28"/>
          <w:szCs w:val="28"/>
        </w:rPr>
        <w:tab/>
      </w:r>
    </w:p>
    <w:p w:rsidR="007E2BF7" w:rsidRDefault="007E2BF7"/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92010E" w:rsidTr="00EA2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2010E" w:rsidRPr="006F294D" w:rsidRDefault="0092010E">
            <w:pPr>
              <w:rPr>
                <w:sz w:val="24"/>
                <w:szCs w:val="24"/>
              </w:rPr>
            </w:pPr>
            <w:r w:rsidRPr="006F294D">
              <w:rPr>
                <w:sz w:val="24"/>
                <w:szCs w:val="24"/>
              </w:rPr>
              <w:t>I. Summary</w:t>
            </w:r>
          </w:p>
        </w:tc>
      </w:tr>
      <w:tr w:rsidR="00162D85" w:rsidTr="00F9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Pr="006F294D" w:rsidRDefault="00162D85" w:rsidP="00162D85">
            <w:pPr>
              <w:spacing w:before="240"/>
              <w:rPr>
                <w:sz w:val="24"/>
                <w:szCs w:val="24"/>
              </w:rPr>
            </w:pPr>
            <w:r w:rsidRPr="006F294D">
              <w:rPr>
                <w:sz w:val="24"/>
                <w:szCs w:val="24"/>
              </w:rPr>
              <w:t>Objective</w:t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Pr="003E7AF7" w:rsidRDefault="00162D85" w:rsidP="00942719">
            <w:pPr>
              <w:spacing w:before="24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</w:rPr>
            </w:pPr>
            <w:r w:rsidRPr="003E7AF7">
              <w:rPr>
                <w:rFonts w:cstheme="minorHAnsi"/>
                <w:color w:val="000000" w:themeColor="text1"/>
              </w:rPr>
              <w:t>To ensure that the Programme has the most appropriate framework, tools and mechanisms in place for results-focused quality assurance and monitoring and reporting in order to measure and appraise the impacts of the Programme.</w:t>
            </w:r>
          </w:p>
        </w:tc>
      </w:tr>
      <w:tr w:rsidR="00162D85" w:rsidTr="00F9577F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Pr="006F294D" w:rsidRDefault="00162D85" w:rsidP="00162D85">
            <w:pPr>
              <w:spacing w:before="240"/>
              <w:rPr>
                <w:sz w:val="24"/>
                <w:szCs w:val="24"/>
              </w:rPr>
            </w:pPr>
            <w:r w:rsidRPr="006F294D">
              <w:rPr>
                <w:sz w:val="24"/>
                <w:szCs w:val="24"/>
              </w:rPr>
              <w:t>Expected results</w:t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Default="00162D85" w:rsidP="00942719">
            <w:pPr>
              <w:spacing w:before="24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E7AF7">
              <w:rPr>
                <w:rFonts w:cstheme="minorHAnsi"/>
                <w:color w:val="000000" w:themeColor="text1"/>
              </w:rPr>
              <w:t>Results-based management implemented fully and effectively across the UN-REDD Programme.</w:t>
            </w:r>
          </w:p>
          <w:p w:rsidR="00162D85" w:rsidRPr="003E7AF7" w:rsidRDefault="009D3E3D" w:rsidP="00F9577F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Annual </w:t>
            </w:r>
            <w:r w:rsidR="0012244A">
              <w:rPr>
                <w:rFonts w:cstheme="minorHAnsi"/>
                <w:color w:val="000000" w:themeColor="text1"/>
              </w:rPr>
              <w:t xml:space="preserve">and semi- </w:t>
            </w:r>
            <w:r>
              <w:rPr>
                <w:rFonts w:cstheme="minorHAnsi"/>
                <w:color w:val="000000" w:themeColor="text1"/>
              </w:rPr>
              <w:t>report</w:t>
            </w:r>
            <w:r w:rsidR="0012244A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 of the UN-REDD Programme based on </w:t>
            </w:r>
            <w:r w:rsidR="004F1D1A">
              <w:rPr>
                <w:rFonts w:cstheme="minorHAnsi"/>
                <w:color w:val="000000" w:themeColor="text1"/>
              </w:rPr>
              <w:t>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13F35">
              <w:rPr>
                <w:rFonts w:cstheme="minorHAnsi"/>
                <w:color w:val="000000" w:themeColor="text1"/>
              </w:rPr>
              <w:t xml:space="preserve">full </w:t>
            </w:r>
            <w:r w:rsidR="004F1D1A">
              <w:rPr>
                <w:rFonts w:cstheme="minorHAnsi"/>
                <w:color w:val="000000" w:themeColor="text1"/>
              </w:rPr>
              <w:t xml:space="preserve">y results based </w:t>
            </w:r>
            <w:r w:rsidR="00913F35">
              <w:rPr>
                <w:rFonts w:cstheme="minorHAnsi"/>
                <w:color w:val="000000" w:themeColor="text1"/>
              </w:rPr>
              <w:t>M</w:t>
            </w:r>
            <w:r>
              <w:rPr>
                <w:rFonts w:cstheme="minorHAnsi"/>
                <w:color w:val="000000" w:themeColor="text1"/>
              </w:rPr>
              <w:t>onitoring</w:t>
            </w:r>
            <w:r w:rsidR="00913F35">
              <w:rPr>
                <w:rFonts w:cstheme="minorHAnsi"/>
                <w:color w:val="000000" w:themeColor="text1"/>
              </w:rPr>
              <w:t xml:space="preserve"> and </w:t>
            </w:r>
            <w:r w:rsidR="004F1D1A">
              <w:rPr>
                <w:rFonts w:cstheme="minorHAnsi"/>
                <w:color w:val="000000" w:themeColor="text1"/>
              </w:rPr>
              <w:t>R</w:t>
            </w:r>
            <w:r w:rsidR="00913F35">
              <w:rPr>
                <w:rFonts w:cstheme="minorHAnsi"/>
                <w:color w:val="000000" w:themeColor="text1"/>
              </w:rPr>
              <w:t>eporting Framework of the Programme</w:t>
            </w:r>
            <w:r>
              <w:rPr>
                <w:rFonts w:cstheme="minorHAnsi"/>
                <w:color w:val="000000" w:themeColor="text1"/>
              </w:rPr>
              <w:t xml:space="preserve"> in 2015.</w:t>
            </w:r>
          </w:p>
        </w:tc>
      </w:tr>
      <w:tr w:rsidR="00162D85" w:rsidTr="00F9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Pr="006F294D" w:rsidRDefault="00162D85" w:rsidP="00162D85">
            <w:pPr>
              <w:spacing w:before="240"/>
              <w:rPr>
                <w:sz w:val="24"/>
                <w:szCs w:val="24"/>
              </w:rPr>
            </w:pPr>
            <w:r w:rsidRPr="006F294D">
              <w:rPr>
                <w:sz w:val="24"/>
                <w:szCs w:val="24"/>
              </w:rPr>
              <w:t>Level of intervention</w:t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Pr="003E7AF7" w:rsidRDefault="00162D85" w:rsidP="00942719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E7AF7">
              <w:rPr>
                <w:rFonts w:cstheme="minorHAnsi"/>
                <w:color w:val="000000" w:themeColor="text1"/>
              </w:rPr>
              <w:t>Global, regional and country levels.</w:t>
            </w:r>
          </w:p>
        </w:tc>
      </w:tr>
      <w:tr w:rsidR="00162D85" w:rsidTr="00162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Default="00162D85" w:rsidP="00162D85">
            <w:pPr>
              <w:spacing w:before="240"/>
            </w:pPr>
            <w:r w:rsidRPr="006F294D">
              <w:rPr>
                <w:sz w:val="24"/>
                <w:szCs w:val="24"/>
              </w:rPr>
              <w:t xml:space="preserve">Related work area, as defined in the </w:t>
            </w:r>
            <w:hyperlink r:id="rId10" w:history="1">
              <w:r w:rsidRPr="006F294D">
                <w:rPr>
                  <w:rStyle w:val="Hyperlink"/>
                  <w:color w:val="FFFFFF" w:themeColor="background1"/>
                  <w:sz w:val="24"/>
                  <w:szCs w:val="24"/>
                </w:rPr>
                <w:t>UN-REDD Programme Strategy</w:t>
              </w:r>
            </w:hyperlink>
            <w:r>
              <w:rPr>
                <w:rStyle w:val="FootnoteReference"/>
              </w:rPr>
              <w:footnoteReference w:id="1"/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Default="00162D85" w:rsidP="00942719">
            <w:pPr>
              <w:spacing w:before="24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lang w:eastAsia="fr-CH"/>
              </w:rPr>
            </w:pPr>
            <w:r w:rsidRPr="003E7AF7">
              <w:rPr>
                <w:rFonts w:cstheme="minorHAnsi"/>
                <w:bCs/>
                <w:color w:val="000000"/>
                <w:lang w:eastAsia="fr-CH"/>
              </w:rPr>
              <w:t xml:space="preserve">All work areas. </w:t>
            </w:r>
          </w:p>
          <w:p w:rsidR="00955BD4" w:rsidRPr="003E7AF7" w:rsidRDefault="00955BD4" w:rsidP="00162D85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lang w:eastAsia="fr-CH"/>
              </w:rPr>
            </w:pPr>
          </w:p>
          <w:p w:rsidR="00162D85" w:rsidRPr="003E7AF7" w:rsidRDefault="00162D85" w:rsidP="00F9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E7AF7">
              <w:rPr>
                <w:rFonts w:cstheme="minorHAnsi"/>
                <w:color w:val="000000"/>
              </w:rPr>
              <w:t xml:space="preserve">The </w:t>
            </w:r>
            <w:r w:rsidR="00955BD4">
              <w:rPr>
                <w:rFonts w:cstheme="minorHAnsi"/>
                <w:color w:val="000000"/>
              </w:rPr>
              <w:t>request</w:t>
            </w:r>
            <w:r w:rsidR="00955BD4" w:rsidRPr="003E7AF7">
              <w:rPr>
                <w:rFonts w:cstheme="minorHAnsi"/>
                <w:color w:val="000000"/>
              </w:rPr>
              <w:t xml:space="preserve"> </w:t>
            </w:r>
            <w:r w:rsidRPr="003E7AF7">
              <w:rPr>
                <w:rFonts w:cstheme="minorHAnsi"/>
                <w:color w:val="000000"/>
              </w:rPr>
              <w:t xml:space="preserve">refers to Outcome 8, </w:t>
            </w:r>
            <w:r w:rsidRPr="003E7AF7">
              <w:rPr>
                <w:rFonts w:cstheme="minorHAnsi"/>
                <w:bCs/>
                <w:color w:val="000000"/>
                <w:lang w:eastAsia="fr-CH"/>
              </w:rPr>
              <w:t>“Timely and effective UN-REDD Programme Secretariat services provided to the UN-REDD partner countries, Policy Board and the UN agencies”</w:t>
            </w:r>
            <w:r w:rsidRPr="003E7AF7">
              <w:rPr>
                <w:rFonts w:cstheme="minorHAnsi"/>
                <w:color w:val="000000"/>
              </w:rPr>
              <w:t xml:space="preserve"> </w:t>
            </w:r>
            <w:r w:rsidR="007A4BF5">
              <w:t xml:space="preserve">of the </w:t>
            </w:r>
            <w:r w:rsidR="007A4BF5" w:rsidRPr="003E7AF7">
              <w:rPr>
                <w:rFonts w:cstheme="minorHAnsi"/>
                <w:lang w:eastAsia="en-US"/>
              </w:rPr>
              <w:t>Support to National REDD+ Action: Global Programme Framework 2011-2015</w:t>
            </w:r>
            <w:r w:rsidR="007A4BF5" w:rsidRPr="003E7AF7">
              <w:rPr>
                <w:rFonts w:cstheme="minorHAnsi"/>
              </w:rPr>
              <w:t xml:space="preserve"> SNA</w:t>
            </w:r>
            <w:r w:rsidR="007A4BF5">
              <w:t>.</w:t>
            </w:r>
          </w:p>
        </w:tc>
      </w:tr>
      <w:tr w:rsidR="00162D85" w:rsidTr="00162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Pr="006F294D" w:rsidRDefault="004F1D1A" w:rsidP="00955BD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</w:t>
            </w:r>
            <w:r w:rsidR="00162D85" w:rsidRPr="006F294D">
              <w:rPr>
                <w:sz w:val="24"/>
                <w:szCs w:val="24"/>
              </w:rPr>
              <w:t>uration</w:t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Pr="003E7AF7" w:rsidRDefault="004F1D1A" w:rsidP="00942719">
            <w:pPr>
              <w:pStyle w:val="ListParagraph"/>
              <w:spacing w:before="240"/>
              <w:ind w:left="452" w:hanging="4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12 </w:t>
            </w:r>
            <w:r w:rsidR="00162D85">
              <w:rPr>
                <w:rFonts w:cstheme="minorHAnsi"/>
                <w:color w:val="000000" w:themeColor="text1"/>
              </w:rPr>
              <w:t>months (until 31 December 2014)</w:t>
            </w:r>
          </w:p>
        </w:tc>
      </w:tr>
      <w:tr w:rsidR="00162D85" w:rsidTr="00162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62D85" w:rsidRPr="006F294D" w:rsidRDefault="00162D85" w:rsidP="00162D85">
            <w:pPr>
              <w:spacing w:before="240"/>
              <w:rPr>
                <w:sz w:val="24"/>
                <w:szCs w:val="24"/>
              </w:rPr>
            </w:pPr>
            <w:r w:rsidRPr="006F294D">
              <w:rPr>
                <w:sz w:val="24"/>
                <w:szCs w:val="24"/>
              </w:rPr>
              <w:t>Total amount requested (US$)</w:t>
            </w:r>
          </w:p>
        </w:tc>
        <w:tc>
          <w:tcPr>
            <w:tcW w:w="5782" w:type="dxa"/>
            <w:shd w:val="clear" w:color="auto" w:fill="DBE5F1" w:themeFill="accent1" w:themeFillTint="33"/>
          </w:tcPr>
          <w:p w:rsidR="00162D85" w:rsidRDefault="00955BD4" w:rsidP="009427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8EA">
              <w:rPr>
                <w:rFonts w:cstheme="minorHAnsi"/>
              </w:rPr>
              <w:t>US$</w:t>
            </w:r>
            <w:r w:rsidR="00746151">
              <w:rPr>
                <w:rFonts w:cstheme="minorHAnsi"/>
              </w:rPr>
              <w:t xml:space="preserve"> </w:t>
            </w:r>
            <w:r w:rsidR="00083593">
              <w:t>9</w:t>
            </w:r>
            <w:r w:rsidR="00A62615">
              <w:t>76,363</w:t>
            </w:r>
            <w:r w:rsidRPr="00F738EA">
              <w:rPr>
                <w:rStyle w:val="FootnoteReference"/>
              </w:rPr>
              <w:footnoteReference w:id="2"/>
            </w:r>
            <w:r w:rsidRPr="00F738EA">
              <w:t xml:space="preserve"> for activities to be undertaken until 31 December 2014</w:t>
            </w:r>
            <w:r>
              <w:t xml:space="preserve"> </w:t>
            </w:r>
          </w:p>
          <w:p w:rsidR="00162D85" w:rsidRPr="003E7AF7" w:rsidRDefault="00162D85" w:rsidP="007A4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EA20E9" w:rsidRDefault="00EA20E9">
      <w:r>
        <w:rPr>
          <w:b/>
          <w:bCs/>
        </w:rPr>
        <w:br w:type="page"/>
      </w:r>
      <w:r>
        <w:lastRenderedPageBreak/>
        <w:t xml:space="preserve"> </w:t>
      </w:r>
    </w:p>
    <w:tbl>
      <w:tblPr>
        <w:tblStyle w:val="MediumGrid3-Accent1"/>
        <w:tblpPr w:leftFromText="180" w:rightFromText="180" w:vertAnchor="text" w:horzAnchor="margin" w:tblpY="81"/>
        <w:tblW w:w="9606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EA20E9" w:rsidRPr="00DC03FE" w:rsidTr="00EA2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1F497D" w:themeFill="text2"/>
          </w:tcPr>
          <w:p w:rsidR="00EA20E9" w:rsidRPr="00DC03FE" w:rsidRDefault="00EA20E9" w:rsidP="00EA20E9">
            <w:pPr>
              <w:rPr>
                <w:b w:val="0"/>
              </w:rPr>
            </w:pPr>
            <w:r w:rsidRPr="00624FBD">
              <w:t xml:space="preserve">II. Background </w:t>
            </w:r>
            <w:r w:rsidR="00955BD4">
              <w:t>and indicative activities</w:t>
            </w:r>
            <w:r w:rsidRPr="00DC03FE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EA20E9" w:rsidRPr="00D80678" w:rsidTr="00EA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B8CCE4" w:themeFill="accent1" w:themeFillTint="66"/>
          </w:tcPr>
          <w:p w:rsidR="00955BD4" w:rsidRPr="00942719" w:rsidRDefault="00955BD4" w:rsidP="00942719">
            <w:p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 xml:space="preserve">Additional resources are required to enable the UN-Programme to develop and implement a fully operational </w:t>
            </w:r>
            <w:r w:rsidR="003B048B" w:rsidRPr="00942719">
              <w:rPr>
                <w:rFonts w:cstheme="minorHAnsi"/>
                <w:b w:val="0"/>
                <w:color w:val="000000" w:themeColor="text1"/>
              </w:rPr>
              <w:t>Results-based management</w:t>
            </w:r>
            <w:r w:rsidR="003B048B" w:rsidRPr="00942719">
              <w:rPr>
                <w:rFonts w:cstheme="minorHAnsi"/>
                <w:color w:val="000000" w:themeColor="text1"/>
              </w:rPr>
              <w:t xml:space="preserve"> </w:t>
            </w:r>
            <w:r w:rsidR="003B048B" w:rsidRPr="00942719">
              <w:rPr>
                <w:rFonts w:cstheme="minorHAnsi"/>
                <w:b w:val="0"/>
                <w:color w:val="000000" w:themeColor="text1"/>
              </w:rPr>
              <w:t>(RBM)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 system. </w:t>
            </w:r>
            <w:r w:rsidRPr="00942719">
              <w:rPr>
                <w:rFonts w:eastAsia="Times New Roman" w:cstheme="minorHAnsi"/>
                <w:b w:val="0"/>
                <w:color w:val="000000" w:themeColor="text1"/>
                <w:lang w:val="en-US" w:eastAsia="fr-CH"/>
              </w:rPr>
              <w:t xml:space="preserve">The objective of the overall system is among others 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to improve the effectiveness and accountability of the Programme and integrate strategies, resources, processes and measurements to improve decision-making, transparency and quality assurance. </w:t>
            </w:r>
          </w:p>
          <w:p w:rsidR="00955BD4" w:rsidRPr="00942719" w:rsidRDefault="00955BD4" w:rsidP="00942719">
            <w:p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955BD4" w:rsidRPr="00942719" w:rsidRDefault="00955BD4" w:rsidP="00942719">
            <w:p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>The recommendations of the UN-REDD Policy Board at its Tenth Meeting and from earlier Policy Board meetings will be addressed</w:t>
            </w:r>
            <w:r w:rsidRPr="00942719">
              <w:rPr>
                <w:rStyle w:val="FootnoteReference"/>
                <w:rFonts w:cstheme="minorHAnsi"/>
                <w:b w:val="0"/>
                <w:color w:val="000000" w:themeColor="text1"/>
              </w:rPr>
              <w:footnoteReference w:id="3"/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. </w:t>
            </w:r>
          </w:p>
          <w:p w:rsidR="00955BD4" w:rsidRPr="00942719" w:rsidRDefault="00955BD4" w:rsidP="00942719">
            <w:p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955BD4" w:rsidRPr="00942719" w:rsidRDefault="00955BD4" w:rsidP="00942719">
            <w:pPr>
              <w:spacing w:line="276" w:lineRule="auto"/>
              <w:jc w:val="both"/>
              <w:rPr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 xml:space="preserve">This is </w:t>
            </w:r>
            <w:r w:rsidRPr="00942719">
              <w:rPr>
                <w:rFonts w:cstheme="minorHAnsi"/>
                <w:b w:val="0"/>
                <w:i/>
                <w:color w:val="000000" w:themeColor="text1"/>
              </w:rPr>
              <w:t xml:space="preserve">not a full fledge concept note </w:t>
            </w:r>
            <w:r w:rsidRPr="00942719">
              <w:rPr>
                <w:rFonts w:cstheme="minorHAnsi"/>
                <w:b w:val="0"/>
                <w:color w:val="000000" w:themeColor="text1"/>
              </w:rPr>
              <w:t>but a background note for top up of funding to Outcome 8 “</w:t>
            </w:r>
            <w:r w:rsidRPr="00942719">
              <w:rPr>
                <w:rFonts w:cstheme="minorHAnsi"/>
                <w:b w:val="0"/>
                <w:i/>
                <w:color w:val="000000" w:themeColor="text1"/>
                <w:lang w:eastAsia="fr-CH"/>
              </w:rPr>
              <w:t>Timely and effective UN-REDD Programme Secretariat services provided to the UN-REDD partner countries, Policy Board and the UN agencies</w:t>
            </w:r>
            <w:r w:rsidRPr="00942719">
              <w:rPr>
                <w:rFonts w:cstheme="minorHAnsi"/>
                <w:b w:val="0"/>
                <w:color w:val="000000" w:themeColor="text1"/>
                <w:lang w:eastAsia="fr-CH"/>
              </w:rPr>
              <w:t>”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 and especially Output 8.5 “</w:t>
            </w:r>
            <w:r w:rsidRPr="00942719">
              <w:rPr>
                <w:b w:val="0"/>
                <w:i/>
                <w:color w:val="000000" w:themeColor="text1"/>
              </w:rPr>
              <w:t>Result-based management (RBM), including monitoring, evaluation and reporting, implemented across the UN-REDD programme</w:t>
            </w:r>
            <w:r w:rsidRPr="00942719">
              <w:rPr>
                <w:b w:val="0"/>
                <w:color w:val="000000" w:themeColor="text1"/>
              </w:rPr>
              <w:t>” of the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 SNA</w:t>
            </w:r>
            <w:r w:rsidRPr="00942719">
              <w:rPr>
                <w:b w:val="0"/>
                <w:color w:val="000000" w:themeColor="text1"/>
              </w:rPr>
              <w:t>.</w:t>
            </w:r>
          </w:p>
          <w:p w:rsidR="00423111" w:rsidRPr="00942719" w:rsidRDefault="00423111" w:rsidP="00942719">
            <w:pPr>
              <w:spacing w:line="276" w:lineRule="auto"/>
              <w:jc w:val="both"/>
              <w:rPr>
                <w:b w:val="0"/>
                <w:color w:val="000000" w:themeColor="text1"/>
              </w:rPr>
            </w:pPr>
          </w:p>
          <w:p w:rsidR="00423111" w:rsidRPr="00942719" w:rsidRDefault="00423111" w:rsidP="00942719">
            <w:pPr>
              <w:spacing w:line="276" w:lineRule="auto"/>
              <w:jc w:val="both"/>
              <w:rPr>
                <w:b w:val="0"/>
                <w:color w:val="000000" w:themeColor="text1"/>
              </w:rPr>
            </w:pPr>
            <w:r w:rsidRPr="00942719">
              <w:rPr>
                <w:b w:val="0"/>
                <w:color w:val="000000" w:themeColor="text1"/>
              </w:rPr>
              <w:t xml:space="preserve">Examples if activities to be undertaken: </w:t>
            </w:r>
          </w:p>
          <w:p w:rsidR="00423111" w:rsidRPr="00942719" w:rsidRDefault="00423111" w:rsidP="00942719">
            <w:p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423111" w:rsidRPr="00942719" w:rsidRDefault="00423111" w:rsidP="00942719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b w:val="0"/>
                <w:color w:val="000000" w:themeColor="text1"/>
              </w:rPr>
            </w:pPr>
            <w:r w:rsidRPr="00942719">
              <w:rPr>
                <w:b w:val="0"/>
                <w:color w:val="000000" w:themeColor="text1"/>
              </w:rPr>
              <w:t>Development of the overarching RBM Framework of the UN-REDD Programme in line with the Programme Strategy and the monitoring and reporting framework of the Support to National REDD+ Action (SNA) and the National Programmes, respectively.</w:t>
            </w:r>
          </w:p>
          <w:p w:rsidR="00423111" w:rsidRPr="00942719" w:rsidRDefault="00423111" w:rsidP="00942719">
            <w:pPr>
              <w:pStyle w:val="ListParagraph"/>
              <w:spacing w:after="200" w:line="276" w:lineRule="auto"/>
              <w:rPr>
                <w:b w:val="0"/>
                <w:color w:val="000000" w:themeColor="text1"/>
              </w:rPr>
            </w:pPr>
          </w:p>
          <w:p w:rsidR="00423111" w:rsidRPr="00942719" w:rsidRDefault="00423111" w:rsidP="00942719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>Training and follow up for Programme staff and partners to ensure implementation of RBM across the UN-REDD Programme.</w:t>
            </w:r>
          </w:p>
          <w:p w:rsidR="00423111" w:rsidRPr="00942719" w:rsidRDefault="00423111" w:rsidP="00942719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423111" w:rsidRPr="00942719" w:rsidRDefault="00423111" w:rsidP="00942719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>Assessment and development of tools for monitoring the results of the Programme at the various levels including impact level.</w:t>
            </w:r>
          </w:p>
          <w:p w:rsidR="00423111" w:rsidRPr="00942719" w:rsidRDefault="00423111" w:rsidP="00942719">
            <w:pPr>
              <w:pStyle w:val="ListParagraph"/>
              <w:spacing w:line="276" w:lineRule="auto"/>
              <w:ind w:left="426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423111" w:rsidRPr="00942719" w:rsidRDefault="00423111" w:rsidP="00942719">
            <w:pPr>
              <w:pStyle w:val="ListParagraph"/>
              <w:spacing w:line="276" w:lineRule="auto"/>
              <w:ind w:left="1440" w:hanging="731"/>
              <w:rPr>
                <w:b w:val="0"/>
                <w:color w:val="000000" w:themeColor="text1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>The amount of above activities is US</w:t>
            </w:r>
            <w:r w:rsidRPr="00942719">
              <w:rPr>
                <w:rFonts w:ascii="Calibri" w:hAnsi="Calibri" w:cs="Calibri"/>
                <w:b w:val="0"/>
                <w:color w:val="000000" w:themeColor="text1"/>
              </w:rPr>
              <w:t>$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 150,000</w:t>
            </w:r>
          </w:p>
          <w:p w:rsidR="00955BD4" w:rsidRPr="00942719" w:rsidRDefault="00955BD4" w:rsidP="00942719">
            <w:pPr>
              <w:pStyle w:val="ListParagraph"/>
              <w:spacing w:line="276" w:lineRule="auto"/>
              <w:ind w:left="426"/>
              <w:jc w:val="both"/>
              <w:rPr>
                <w:rFonts w:cstheme="minorHAnsi"/>
                <w:b w:val="0"/>
                <w:color w:val="000000" w:themeColor="text1"/>
              </w:rPr>
            </w:pPr>
          </w:p>
          <w:p w:rsidR="00EA20E9" w:rsidRPr="00D80678" w:rsidRDefault="00955BD4" w:rsidP="00942719">
            <w:pPr>
              <w:pStyle w:val="ListParagraph"/>
              <w:spacing w:line="276" w:lineRule="auto"/>
              <w:ind w:left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42719">
              <w:rPr>
                <w:rFonts w:cstheme="minorHAnsi"/>
                <w:b w:val="0"/>
                <w:color w:val="000000" w:themeColor="text1"/>
              </w:rPr>
              <w:t>In addition</w:t>
            </w:r>
            <w:r w:rsidR="00942719">
              <w:rPr>
                <w:rFonts w:cstheme="minorHAnsi"/>
                <w:b w:val="0"/>
                <w:color w:val="000000" w:themeColor="text1"/>
              </w:rPr>
              <w:t>, f</w:t>
            </w:r>
            <w:r w:rsidRPr="00942719">
              <w:rPr>
                <w:rFonts w:cstheme="minorHAnsi"/>
                <w:b w:val="0"/>
                <w:color w:val="000000" w:themeColor="text1"/>
              </w:rPr>
              <w:t>unding is requested for monitoring and evaluation (M&amp;E)</w:t>
            </w:r>
            <w:r w:rsidR="00423111" w:rsidRPr="00942719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of the new activities planned under the overall proposal to Norway. See the Results Frameworks in the separate concept notes and a summary of monitoring and evaluation costs in Annex 1 of this note. </w:t>
            </w:r>
            <w:r w:rsidRPr="00942719">
              <w:rPr>
                <w:b w:val="0"/>
                <w:color w:val="000000" w:themeColor="text1"/>
              </w:rPr>
              <w:t xml:space="preserve">As per UNDG guidelines for joint programming on resources for monitoring, 5% of the implementation budget is requested for monitoring and evaluation costs. In total: </w:t>
            </w:r>
            <w:r w:rsidRPr="00942719">
              <w:rPr>
                <w:rFonts w:cstheme="minorHAnsi"/>
                <w:b w:val="0"/>
                <w:color w:val="000000" w:themeColor="text1"/>
              </w:rPr>
              <w:t>US</w:t>
            </w:r>
            <w:r w:rsidRPr="00942719">
              <w:rPr>
                <w:rFonts w:ascii="Calibri" w:hAnsi="Calibri" w:cs="Calibri"/>
                <w:b w:val="0"/>
                <w:color w:val="000000" w:themeColor="text1"/>
              </w:rPr>
              <w:t>$</w:t>
            </w:r>
            <w:r w:rsidRPr="00942719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A62615" w:rsidRPr="00942719">
              <w:rPr>
                <w:rFonts w:cstheme="minorHAnsi"/>
                <w:b w:val="0"/>
                <w:color w:val="000000" w:themeColor="text1"/>
              </w:rPr>
              <w:t>826,363</w:t>
            </w:r>
            <w:r w:rsidRPr="00942719">
              <w:rPr>
                <w:rFonts w:cstheme="minorHAnsi"/>
                <w:b w:val="0"/>
                <w:color w:val="000000" w:themeColor="text1"/>
              </w:rPr>
              <w:t>.</w:t>
            </w:r>
          </w:p>
        </w:tc>
      </w:tr>
    </w:tbl>
    <w:p w:rsidR="003969ED" w:rsidRPr="00F9577F" w:rsidRDefault="00955BD4" w:rsidP="00162D85">
      <w:pPr>
        <w:spacing w:after="100"/>
        <w:jc w:val="both"/>
        <w:rPr>
          <w:rFonts w:cstheme="minorHAnsi"/>
          <w:b/>
          <w:color w:val="000000" w:themeColor="text1"/>
        </w:rPr>
      </w:pPr>
      <w:r w:rsidRPr="00F9577F">
        <w:rPr>
          <w:rFonts w:cstheme="minorHAnsi"/>
          <w:b/>
          <w:color w:val="000000" w:themeColor="text1"/>
        </w:rPr>
        <w:lastRenderedPageBreak/>
        <w:t xml:space="preserve">Annex 1. </w:t>
      </w:r>
      <w:r>
        <w:rPr>
          <w:rFonts w:cstheme="minorHAnsi"/>
          <w:b/>
          <w:color w:val="000000" w:themeColor="text1"/>
        </w:rPr>
        <w:t>Summary of M&amp;E costs for activities until 31 December 2014 in the overall funding request to Norway</w:t>
      </w:r>
    </w:p>
    <w:tbl>
      <w:tblPr>
        <w:tblW w:w="9224" w:type="dxa"/>
        <w:tblInd w:w="9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629"/>
        <w:gridCol w:w="2835"/>
        <w:gridCol w:w="1760"/>
      </w:tblGrid>
      <w:tr w:rsidR="003969ED" w:rsidRPr="00955BD4" w:rsidTr="00A62615">
        <w:trPr>
          <w:trHeight w:val="1252"/>
        </w:trPr>
        <w:tc>
          <w:tcPr>
            <w:tcW w:w="4629" w:type="dxa"/>
            <w:shd w:val="clear" w:color="auto" w:fill="548DD4" w:themeFill="text2" w:themeFillTint="99"/>
            <w:vAlign w:val="center"/>
            <w:hideMark/>
          </w:tcPr>
          <w:p w:rsidR="003969ED" w:rsidRPr="00F9577F" w:rsidRDefault="003969ED" w:rsidP="003969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</w:rPr>
            </w:pPr>
            <w:r w:rsidRPr="00F9577F">
              <w:rPr>
                <w:rFonts w:eastAsia="Times New Roman" w:cstheme="minorHAnsi"/>
                <w:b/>
                <w:color w:val="FFFFFF" w:themeColor="background1"/>
              </w:rPr>
              <w:t>Concept note title (description)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  <w:hideMark/>
          </w:tcPr>
          <w:p w:rsidR="003969ED" w:rsidRPr="00F9577F" w:rsidRDefault="003969ED" w:rsidP="003969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F9577F">
              <w:rPr>
                <w:rFonts w:eastAsia="Times New Roman" w:cstheme="minorHAnsi"/>
                <w:b/>
                <w:bCs/>
                <w:color w:val="FFFFFF" w:themeColor="background1"/>
              </w:rPr>
              <w:t>Amount being requested for the period until 31 Dec 2014</w:t>
            </w:r>
            <w:r w:rsidR="00955BD4" w:rsidRPr="00F9577F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(excl. indirect support costs)</w:t>
            </w:r>
            <w:r w:rsidR="00955BD4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</w:t>
            </w:r>
            <w:r w:rsidR="00955BD4" w:rsidRPr="00727725">
              <w:rPr>
                <w:rFonts w:cstheme="minorHAnsi"/>
                <w:b/>
                <w:color w:val="FFFFFF" w:themeColor="background1"/>
              </w:rPr>
              <w:t>US$</w:t>
            </w:r>
          </w:p>
        </w:tc>
        <w:tc>
          <w:tcPr>
            <w:tcW w:w="1760" w:type="dxa"/>
            <w:shd w:val="clear" w:color="auto" w:fill="548DD4" w:themeFill="text2" w:themeFillTint="99"/>
            <w:noWrap/>
            <w:vAlign w:val="center"/>
            <w:hideMark/>
          </w:tcPr>
          <w:p w:rsidR="003969ED" w:rsidRPr="00F9577F" w:rsidRDefault="003969ED" w:rsidP="003969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F9577F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M&amp;E (5%) </w:t>
            </w:r>
            <w:r w:rsidRPr="00F9577F">
              <w:rPr>
                <w:rFonts w:cstheme="minorHAnsi"/>
                <w:b/>
                <w:color w:val="FFFFFF" w:themeColor="background1"/>
              </w:rPr>
              <w:t>US$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Targeted support</w:t>
            </w:r>
            <w:r w:rsidRPr="00D733AF">
              <w:rPr>
                <w:rFonts w:ascii="Calibri" w:hAnsi="Calibri" w:cs="Calibri"/>
                <w:color w:val="000000"/>
              </w:rPr>
              <w:t xml:space="preserve"> "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Expanding the Targeted support of the UN-REDD Programme"</w:t>
            </w:r>
            <w:r w:rsidRPr="00D733AF">
              <w:rPr>
                <w:rFonts w:ascii="Calibri" w:hAnsi="Calibri" w:cs="Calibri"/>
                <w:color w:val="000000"/>
              </w:rPr>
              <w:t xml:space="preserve"> (Top up amount)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5D6EA8" w:rsidRDefault="008B4BA4" w:rsidP="000A2F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2,803,738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5D6EA8" w:rsidRDefault="00BA6A90" w:rsidP="005D6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140,187</w:t>
            </w:r>
          </w:p>
        </w:tc>
      </w:tr>
      <w:tr w:rsidR="008B4BA4" w:rsidRPr="00955BD4" w:rsidTr="00A62615">
        <w:trPr>
          <w:trHeight w:val="977"/>
        </w:trPr>
        <w:tc>
          <w:tcPr>
            <w:tcW w:w="4629" w:type="dxa"/>
            <w:shd w:val="clear" w:color="auto" w:fill="auto"/>
          </w:tcPr>
          <w:p w:rsidR="008B4BA4" w:rsidRPr="00D733AF" w:rsidRDefault="008B4BA4" w:rsidP="009A3586">
            <w:pPr>
              <w:spacing w:after="0"/>
              <w:rPr>
                <w:rFonts w:ascii="Calibri" w:hAnsi="Calibri" w:cs="Calibri"/>
                <w:color w:val="000000"/>
                <w:u w:val="single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Innovative approaches of country support based on needs</w:t>
            </w:r>
            <w:r w:rsidRPr="00D733AF">
              <w:rPr>
                <w:rFonts w:ascii="Calibri" w:hAnsi="Calibri" w:cs="Calibri"/>
                <w:color w:val="000000"/>
              </w:rPr>
              <w:t xml:space="preserve"> "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Systematic approach to country support - Innovate REDD+ approaches at country level by better understanding their needs"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60,000</w:t>
            </w:r>
          </w:p>
        </w:tc>
      </w:tr>
      <w:tr w:rsidR="008B4BA4" w:rsidRPr="00955BD4" w:rsidTr="00A62615">
        <w:trPr>
          <w:trHeight w:val="1157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National Forest Monitoring Systems</w:t>
            </w:r>
            <w:r w:rsidRPr="00D733AF">
              <w:rPr>
                <w:rFonts w:ascii="Calibri" w:hAnsi="Calibri" w:cs="Calibri"/>
                <w:color w:val="000000"/>
              </w:rPr>
              <w:t xml:space="preserve"> "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Strengthening Regional Support to National Forest Monitoring Systems for REDD+ in the Pacific</w:t>
            </w:r>
            <w:r w:rsidRPr="00D733AF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7668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73,000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Legal frameworks and tenure</w:t>
            </w:r>
            <w:r w:rsidRPr="00D733AF">
              <w:rPr>
                <w:rFonts w:ascii="Calibri" w:hAnsi="Calibri" w:cs="Calibri"/>
                <w:color w:val="000000"/>
              </w:rPr>
              <w:t xml:space="preserve"> "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Strengthening country capacity to develop supportive legal frameworks and tenure systems for REDD+</w:t>
            </w:r>
            <w:r w:rsidRPr="00D733AF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710,000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35,500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Stakeholder engagement</w:t>
            </w:r>
            <w:r w:rsidRPr="00D733AF"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"Scaling up Participation, Engagement and Representation of Indigenous Peoples and Civil Society Stakeholders"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7668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1,780,000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89,000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Safeguards</w:t>
            </w:r>
            <w:r w:rsidRPr="00D733AF">
              <w:rPr>
                <w:rFonts w:ascii="Calibri" w:hAnsi="Calibri" w:cs="Calibri"/>
                <w:color w:val="000000"/>
              </w:rPr>
              <w:t xml:space="preserve"> 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"Boosting support to countries on safeguards and Safeguard Information Systems"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36,250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Private Sector</w:t>
            </w:r>
            <w:r w:rsidRPr="00D733AF">
              <w:rPr>
                <w:rFonts w:ascii="Calibri" w:hAnsi="Calibri" w:cs="Calibri"/>
                <w:color w:val="000000"/>
              </w:rPr>
              <w:t xml:space="preserve"> 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"Engaging with the Private Sector and Private Sector Finance to Achieve REDD+"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167,500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</w:rPr>
              <w:t xml:space="preserve">Knowledge Management and South-South Capacity Development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0A2F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2,950,000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B4BA4" w:rsidP="008B4B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147,500</w:t>
            </w:r>
          </w:p>
        </w:tc>
      </w:tr>
      <w:tr w:rsidR="008B4BA4" w:rsidRPr="00955BD4" w:rsidTr="00A62615">
        <w:trPr>
          <w:trHeight w:val="573"/>
        </w:trPr>
        <w:tc>
          <w:tcPr>
            <w:tcW w:w="4629" w:type="dxa"/>
            <w:shd w:val="clear" w:color="auto" w:fill="auto"/>
          </w:tcPr>
          <w:p w:rsidR="008B4BA4" w:rsidRPr="00D733AF" w:rsidRDefault="008B4BA4" w:rsidP="003969E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33AF">
              <w:rPr>
                <w:rFonts w:ascii="Calibri" w:hAnsi="Calibri" w:cs="Calibri"/>
                <w:color w:val="000000"/>
                <w:u w:val="single"/>
              </w:rPr>
              <w:t>Strategy development</w:t>
            </w:r>
            <w:r w:rsidRPr="00D733AF">
              <w:rPr>
                <w:rFonts w:ascii="Calibri" w:hAnsi="Calibri" w:cs="Calibri"/>
                <w:color w:val="000000"/>
              </w:rPr>
              <w:t xml:space="preserve"> "</w:t>
            </w:r>
            <w:r w:rsidRPr="00D733AF">
              <w:rPr>
                <w:rFonts w:ascii="Calibri" w:hAnsi="Calibri" w:cs="Calibri"/>
                <w:i/>
                <w:iCs/>
                <w:color w:val="000000"/>
              </w:rPr>
              <w:t>UN-REDD Programme strategy development</w:t>
            </w:r>
            <w:r w:rsidRPr="00D733AF">
              <w:rPr>
                <w:rFonts w:ascii="Calibri" w:hAnsi="Calibri" w:cs="Calibri"/>
                <w:color w:val="000000"/>
              </w:rPr>
              <w:t>"  (top up amount)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8B4BA4" w:rsidP="00D511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467,290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F9577F" w:rsidRDefault="008E09E9" w:rsidP="007668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23,365</w:t>
            </w:r>
          </w:p>
        </w:tc>
      </w:tr>
      <w:tr w:rsidR="008B4BA4" w:rsidRPr="00955BD4" w:rsidTr="00A62615">
        <w:trPr>
          <w:trHeight w:val="386"/>
        </w:trPr>
        <w:tc>
          <w:tcPr>
            <w:tcW w:w="4629" w:type="dxa"/>
            <w:shd w:val="clear" w:color="auto" w:fill="auto"/>
            <w:hideMark/>
          </w:tcPr>
          <w:p w:rsidR="008B4BA4" w:rsidRPr="00F9577F" w:rsidRDefault="008B4BA4" w:rsidP="003969ED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9577F">
              <w:rPr>
                <w:rFonts w:eastAsia="Times New Roman" w:cstheme="minorHAnsi"/>
                <w:b/>
                <w:color w:val="000000"/>
              </w:rPr>
              <w:t>Total implementation amount (US$)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B4BA4" w:rsidRPr="00F9577F" w:rsidRDefault="00BA6A90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15,446,028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B4BA4" w:rsidRPr="00A62615" w:rsidRDefault="008E09E9" w:rsidP="003242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62615">
              <w:rPr>
                <w:rFonts w:ascii="Calibri" w:eastAsia="Times New Roman" w:hAnsi="Calibri" w:cs="Calibri"/>
                <w:color w:val="000000"/>
              </w:rPr>
              <w:t>772,30</w:t>
            </w:r>
            <w:r w:rsidR="003242B6" w:rsidRPr="00A6261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B4BA4" w:rsidRPr="00955BD4" w:rsidTr="00A62615">
        <w:trPr>
          <w:trHeight w:val="386"/>
        </w:trPr>
        <w:tc>
          <w:tcPr>
            <w:tcW w:w="4629" w:type="dxa"/>
            <w:shd w:val="clear" w:color="auto" w:fill="auto"/>
          </w:tcPr>
          <w:p w:rsidR="008B4BA4" w:rsidRPr="00F9577F" w:rsidRDefault="008B4BA4" w:rsidP="003969ED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9577F">
              <w:rPr>
                <w:rFonts w:eastAsia="Times New Roman" w:cstheme="minorHAnsi"/>
                <w:b/>
                <w:color w:val="000000"/>
              </w:rPr>
              <w:t>Indirect support costs (7%) (US$)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F9577F" w:rsidRDefault="00BA6A90" w:rsidP="00F73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1,081,222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A62615" w:rsidRDefault="008E09E9" w:rsidP="007461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62615">
              <w:rPr>
                <w:rFonts w:eastAsia="Times New Roman" w:cstheme="minorHAnsi"/>
                <w:color w:val="000000"/>
              </w:rPr>
              <w:t>54,061</w:t>
            </w:r>
          </w:p>
        </w:tc>
      </w:tr>
      <w:tr w:rsidR="008B4BA4" w:rsidRPr="00955BD4" w:rsidTr="00A62615">
        <w:trPr>
          <w:trHeight w:val="386"/>
        </w:trPr>
        <w:tc>
          <w:tcPr>
            <w:tcW w:w="4629" w:type="dxa"/>
            <w:shd w:val="clear" w:color="auto" w:fill="auto"/>
          </w:tcPr>
          <w:p w:rsidR="008B4BA4" w:rsidRPr="00F9577F" w:rsidRDefault="008B4BA4" w:rsidP="003969ED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9577F">
              <w:rPr>
                <w:rFonts w:eastAsia="Times New Roman" w:cstheme="minorHAnsi"/>
                <w:b/>
                <w:color w:val="000000"/>
              </w:rPr>
              <w:t>Total Amount (US$)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4BA4" w:rsidRPr="00D5115B" w:rsidRDefault="00BA6A90" w:rsidP="00F738E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16,527,250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B4BA4" w:rsidRPr="00A62615" w:rsidRDefault="008E09E9" w:rsidP="003242B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A62615">
              <w:rPr>
                <w:rFonts w:eastAsia="Times New Roman" w:cstheme="minorHAnsi"/>
                <w:b/>
                <w:color w:val="000000"/>
              </w:rPr>
              <w:t>826,36</w:t>
            </w:r>
            <w:r w:rsidR="003242B6" w:rsidRPr="00A62615">
              <w:rPr>
                <w:rFonts w:eastAsia="Times New Roman" w:cstheme="minorHAnsi"/>
                <w:b/>
                <w:color w:val="000000"/>
              </w:rPr>
              <w:t>3</w:t>
            </w:r>
          </w:p>
        </w:tc>
      </w:tr>
    </w:tbl>
    <w:p w:rsidR="003969ED" w:rsidRPr="00F848B3" w:rsidRDefault="003969ED" w:rsidP="003969ED">
      <w:pPr>
        <w:spacing w:after="100"/>
        <w:jc w:val="both"/>
        <w:rPr>
          <w:b/>
          <w:color w:val="000000" w:themeColor="text1"/>
          <w:sz w:val="20"/>
          <w:szCs w:val="20"/>
        </w:rPr>
      </w:pPr>
    </w:p>
    <w:sectPr w:rsidR="003969ED" w:rsidRPr="00F848B3" w:rsidSect="0039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A4" w:rsidRDefault="008B4BA4" w:rsidP="0036590B">
      <w:pPr>
        <w:spacing w:after="0" w:line="240" w:lineRule="auto"/>
      </w:pPr>
      <w:r>
        <w:separator/>
      </w:r>
    </w:p>
  </w:endnote>
  <w:endnote w:type="continuationSeparator" w:id="0">
    <w:p w:rsidR="008B4BA4" w:rsidRDefault="008B4BA4" w:rsidP="0036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A4" w:rsidRDefault="008B4BA4" w:rsidP="0036590B">
      <w:pPr>
        <w:spacing w:after="0" w:line="240" w:lineRule="auto"/>
      </w:pPr>
      <w:r>
        <w:separator/>
      </w:r>
    </w:p>
  </w:footnote>
  <w:footnote w:type="continuationSeparator" w:id="0">
    <w:p w:rsidR="008B4BA4" w:rsidRDefault="008B4BA4" w:rsidP="0036590B">
      <w:pPr>
        <w:spacing w:after="0" w:line="240" w:lineRule="auto"/>
      </w:pPr>
      <w:r>
        <w:continuationSeparator/>
      </w:r>
    </w:p>
  </w:footnote>
  <w:footnote w:id="1">
    <w:p w:rsidR="008B4BA4" w:rsidRPr="0036590B" w:rsidRDefault="008B4BA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6590B">
        <w:t>The work areas are: Measurement, Reporting and Verification (MRV); Governance; Stakeholder Engagement; Multiple Benefits and Safeguards; Transparency and Accountability; and, Green Economy</w:t>
      </w:r>
      <w:r>
        <w:t>.</w:t>
      </w:r>
    </w:p>
  </w:footnote>
  <w:footnote w:id="2">
    <w:p w:rsidR="008B4BA4" w:rsidRDefault="008B4BA4">
      <w:pPr>
        <w:pStyle w:val="FootnoteText"/>
      </w:pPr>
      <w:r>
        <w:rPr>
          <w:rStyle w:val="FootnoteReference"/>
        </w:rPr>
        <w:footnoteRef/>
      </w:r>
      <w:r>
        <w:t xml:space="preserve"> Of this amount, </w:t>
      </w:r>
      <w:r>
        <w:rPr>
          <w:rFonts w:cstheme="minorHAnsi"/>
        </w:rPr>
        <w:t>US$</w:t>
      </w:r>
      <w:r w:rsidRPr="003E7AF7">
        <w:t xml:space="preserve"> </w:t>
      </w:r>
      <w:r>
        <w:t xml:space="preserve">150,000 is requested as a top up amount for need RBM-related </w:t>
      </w:r>
      <w:r w:rsidRPr="00E00EFB">
        <w:t>activities</w:t>
      </w:r>
      <w:r>
        <w:t xml:space="preserve"> under the SNA and US</w:t>
      </w:r>
      <w:r>
        <w:rPr>
          <w:rFonts w:ascii="Calibri" w:hAnsi="Calibri" w:cs="Calibri"/>
        </w:rPr>
        <w:t xml:space="preserve">$ </w:t>
      </w:r>
      <w:r w:rsidR="00A62615">
        <w:rPr>
          <w:rFonts w:ascii="Calibri" w:hAnsi="Calibri" w:cs="Calibri"/>
        </w:rPr>
        <w:t>826,363</w:t>
      </w:r>
      <w:r>
        <w:rPr>
          <w:rFonts w:ascii="Calibri" w:hAnsi="Calibri" w:cs="Calibri"/>
        </w:rPr>
        <w:t xml:space="preserve"> for standard monitoring and evaluation costs for the activities outlined in the concept notes of the overall proposal to Norway, October 2014.</w:t>
      </w:r>
    </w:p>
  </w:footnote>
  <w:footnote w:id="3">
    <w:p w:rsidR="008B4BA4" w:rsidRDefault="008B4BA4" w:rsidP="00955B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391"/>
    <w:multiLevelType w:val="hybridMultilevel"/>
    <w:tmpl w:val="3E1655A6"/>
    <w:lvl w:ilvl="0" w:tplc="6382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5243"/>
    <w:multiLevelType w:val="hybridMultilevel"/>
    <w:tmpl w:val="2D1E6420"/>
    <w:lvl w:ilvl="0" w:tplc="8E96B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253E4"/>
    <w:multiLevelType w:val="hybridMultilevel"/>
    <w:tmpl w:val="24AC3466"/>
    <w:lvl w:ilvl="0" w:tplc="6382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82C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90559"/>
    <w:multiLevelType w:val="hybridMultilevel"/>
    <w:tmpl w:val="C84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F09E0"/>
    <w:multiLevelType w:val="hybridMultilevel"/>
    <w:tmpl w:val="FA40F312"/>
    <w:lvl w:ilvl="0" w:tplc="100C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B1043C3"/>
    <w:multiLevelType w:val="hybridMultilevel"/>
    <w:tmpl w:val="868A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34131"/>
    <w:multiLevelType w:val="hybridMultilevel"/>
    <w:tmpl w:val="2D1E6420"/>
    <w:lvl w:ilvl="0" w:tplc="8E96B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E051F"/>
    <w:multiLevelType w:val="hybridMultilevel"/>
    <w:tmpl w:val="6D2A7E42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0977FE"/>
    <w:multiLevelType w:val="hybridMultilevel"/>
    <w:tmpl w:val="2292AC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A6711"/>
    <w:multiLevelType w:val="hybridMultilevel"/>
    <w:tmpl w:val="6D8AB322"/>
    <w:lvl w:ilvl="0" w:tplc="8E96B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01644"/>
    <w:multiLevelType w:val="hybridMultilevel"/>
    <w:tmpl w:val="DC648C4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6A64"/>
    <w:multiLevelType w:val="hybridMultilevel"/>
    <w:tmpl w:val="7F52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634A0"/>
    <w:multiLevelType w:val="hybridMultilevel"/>
    <w:tmpl w:val="1CA8D34C"/>
    <w:lvl w:ilvl="0" w:tplc="100C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A4C79DD"/>
    <w:multiLevelType w:val="hybridMultilevel"/>
    <w:tmpl w:val="6650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0E"/>
    <w:rsid w:val="0001517F"/>
    <w:rsid w:val="0003055E"/>
    <w:rsid w:val="00044332"/>
    <w:rsid w:val="00083593"/>
    <w:rsid w:val="000A2F54"/>
    <w:rsid w:val="001061DA"/>
    <w:rsid w:val="0012244A"/>
    <w:rsid w:val="0015318D"/>
    <w:rsid w:val="00162D85"/>
    <w:rsid w:val="001B62A8"/>
    <w:rsid w:val="00251AAB"/>
    <w:rsid w:val="003242B6"/>
    <w:rsid w:val="003427FA"/>
    <w:rsid w:val="0036590B"/>
    <w:rsid w:val="00393EDE"/>
    <w:rsid w:val="003969ED"/>
    <w:rsid w:val="003A60DA"/>
    <w:rsid w:val="003B048B"/>
    <w:rsid w:val="003E2DDA"/>
    <w:rsid w:val="00423111"/>
    <w:rsid w:val="004350E8"/>
    <w:rsid w:val="004E775E"/>
    <w:rsid w:val="004F1D1A"/>
    <w:rsid w:val="005D6EA8"/>
    <w:rsid w:val="00606D5C"/>
    <w:rsid w:val="00636011"/>
    <w:rsid w:val="006F294D"/>
    <w:rsid w:val="00712F5B"/>
    <w:rsid w:val="00746151"/>
    <w:rsid w:val="00761AB7"/>
    <w:rsid w:val="00766832"/>
    <w:rsid w:val="007A4BF5"/>
    <w:rsid w:val="007E2BF7"/>
    <w:rsid w:val="008B4BA4"/>
    <w:rsid w:val="008E09E9"/>
    <w:rsid w:val="00906FE7"/>
    <w:rsid w:val="00913F35"/>
    <w:rsid w:val="0092010E"/>
    <w:rsid w:val="00942719"/>
    <w:rsid w:val="00955BD4"/>
    <w:rsid w:val="0098675D"/>
    <w:rsid w:val="00986F65"/>
    <w:rsid w:val="009A3586"/>
    <w:rsid w:val="009D3E3D"/>
    <w:rsid w:val="00A62615"/>
    <w:rsid w:val="00B01E7C"/>
    <w:rsid w:val="00B864B2"/>
    <w:rsid w:val="00BA6A90"/>
    <w:rsid w:val="00BD21F8"/>
    <w:rsid w:val="00C04DE4"/>
    <w:rsid w:val="00C241E7"/>
    <w:rsid w:val="00C4532E"/>
    <w:rsid w:val="00D5115B"/>
    <w:rsid w:val="00D733AF"/>
    <w:rsid w:val="00D8624D"/>
    <w:rsid w:val="00DA662E"/>
    <w:rsid w:val="00E143BE"/>
    <w:rsid w:val="00E23A36"/>
    <w:rsid w:val="00EA20E9"/>
    <w:rsid w:val="00F52FE7"/>
    <w:rsid w:val="00F57284"/>
    <w:rsid w:val="00F738EA"/>
    <w:rsid w:val="00F9577F"/>
    <w:rsid w:val="00F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0E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920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20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0E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0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0E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0E"/>
    <w:rPr>
      <w:rFonts w:eastAsiaTheme="minorEastAsia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6590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59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90B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3659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EDE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9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DE"/>
    <w:rPr>
      <w:rFonts w:eastAsiaTheme="minorEastAsia"/>
      <w:lang w:val="en-GB" w:eastAsia="en-GB"/>
    </w:rPr>
  </w:style>
  <w:style w:type="paragraph" w:customStyle="1" w:styleId="UN-10Bodycopy">
    <w:name w:val="UN-10 Body copy"/>
    <w:link w:val="UN-10BodycopyChar"/>
    <w:uiPriority w:val="99"/>
    <w:qFormat/>
    <w:rsid w:val="00162D85"/>
    <w:pPr>
      <w:spacing w:after="240" w:line="280" w:lineRule="atLeast"/>
      <w:jc w:val="both"/>
    </w:pPr>
    <w:rPr>
      <w:rFonts w:eastAsia="Times New Roman" w:cs="Times New Roman"/>
      <w:szCs w:val="20"/>
    </w:rPr>
  </w:style>
  <w:style w:type="character" w:customStyle="1" w:styleId="UN-10BodycopyChar">
    <w:name w:val="UN-10 Body copy Char"/>
    <w:link w:val="UN-10Bodycopy"/>
    <w:uiPriority w:val="99"/>
    <w:rsid w:val="00162D85"/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12244A"/>
    <w:pPr>
      <w:spacing w:after="0" w:line="240" w:lineRule="auto"/>
    </w:pPr>
    <w:rPr>
      <w:noProof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44A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0E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920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20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0E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0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0E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0E"/>
    <w:rPr>
      <w:rFonts w:eastAsiaTheme="minorEastAsia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6590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59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90B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3659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EDE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9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DE"/>
    <w:rPr>
      <w:rFonts w:eastAsiaTheme="minorEastAsia"/>
      <w:lang w:val="en-GB" w:eastAsia="en-GB"/>
    </w:rPr>
  </w:style>
  <w:style w:type="paragraph" w:customStyle="1" w:styleId="UN-10Bodycopy">
    <w:name w:val="UN-10 Body copy"/>
    <w:link w:val="UN-10BodycopyChar"/>
    <w:uiPriority w:val="99"/>
    <w:qFormat/>
    <w:rsid w:val="00162D85"/>
    <w:pPr>
      <w:spacing w:after="240" w:line="280" w:lineRule="atLeast"/>
      <w:jc w:val="both"/>
    </w:pPr>
    <w:rPr>
      <w:rFonts w:eastAsia="Times New Roman" w:cs="Times New Roman"/>
      <w:szCs w:val="20"/>
    </w:rPr>
  </w:style>
  <w:style w:type="character" w:customStyle="1" w:styleId="UN-10BodycopyChar">
    <w:name w:val="UN-10 Body copy Char"/>
    <w:link w:val="UN-10Bodycopy"/>
    <w:uiPriority w:val="99"/>
    <w:rsid w:val="00162D85"/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12244A"/>
    <w:pPr>
      <w:spacing w:after="0" w:line="240" w:lineRule="auto"/>
    </w:pPr>
    <w:rPr>
      <w:noProof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44A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redd.net/index.php?option=com_docman&amp;task=doc_download&amp;gid=4598&amp;Itemid=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CA79-B6E6-448C-AE0D-AD490636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ERIKSSON</cp:lastModifiedBy>
  <cp:revision>5</cp:revision>
  <cp:lastPrinted>2013-10-24T07:45:00Z</cp:lastPrinted>
  <dcterms:created xsi:type="dcterms:W3CDTF">2013-10-25T10:04:00Z</dcterms:created>
  <dcterms:modified xsi:type="dcterms:W3CDTF">2013-10-25T21:19:00Z</dcterms:modified>
</cp:coreProperties>
</file>