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2010E" w:rsidRPr="00F13D55" w:rsidRDefault="00714762" w:rsidP="0092010E">
      <w:pPr>
        <w:rPr>
          <w:b/>
          <w:color w:val="000000" w:themeColor="text1"/>
          <w:sz w:val="32"/>
          <w:szCs w:val="32"/>
        </w:rPr>
      </w:pPr>
      <w:r>
        <w:rPr>
          <w:b/>
          <w:noProof/>
          <w:color w:val="000000" w:themeColor="text1"/>
          <w:sz w:val="32"/>
          <w:szCs w:val="32"/>
          <w:lang w:val="en-US" w:eastAsia="en-US"/>
        </w:rPr>
        <mc:AlternateContent>
          <mc:Choice Requires="wps">
            <w:drawing>
              <wp:anchor distT="0" distB="0" distL="114300" distR="114300" simplePos="0" relativeHeight="251661312" behindDoc="0" locked="0" layoutInCell="1" allowOverlap="1" wp14:anchorId="4FB4BEA7" wp14:editId="6402FF28">
                <wp:simplePos x="0" y="0"/>
                <wp:positionH relativeFrom="column">
                  <wp:posOffset>3638550</wp:posOffset>
                </wp:positionH>
                <wp:positionV relativeFrom="paragraph">
                  <wp:posOffset>-638175</wp:posOffset>
                </wp:positionV>
                <wp:extent cx="2371725" cy="1200150"/>
                <wp:effectExtent l="0" t="0" r="3810"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71725" cy="1200150"/>
                        </a:xfrm>
                        <a:prstGeom prst="rect">
                          <a:avLst/>
                        </a:prstGeom>
                        <a:solidFill>
                          <a:srgbClr val="FFFFFF"/>
                        </a:solidFill>
                        <a:ln w="9525">
                          <a:noFill/>
                          <a:miter lim="800000"/>
                          <a:headEnd/>
                          <a:tailEnd/>
                        </a:ln>
                      </wps:spPr>
                      <wps:txbx>
                        <w:txbxContent>
                          <w:p w:rsidR="0092010E" w:rsidRPr="00714762" w:rsidRDefault="00714762" w:rsidP="0092010E">
                            <w:pPr>
                              <w:rPr>
                                <w:i/>
                              </w:rPr>
                            </w:pPr>
                            <w:r w:rsidRPr="00714762">
                              <w:rPr>
                                <w:i/>
                                <w:color w:val="000000" w:themeColor="text1"/>
                              </w:rPr>
                              <w:t>Background note on top-up funding requirements under the Support to National REDD+ Action: Global Programme Framework 2011-2015 (SNA).</w:t>
                            </w:r>
                          </w:p>
                        </w:txbxContent>
                      </wps:txbx>
                      <wps:bodyPr rot="0" vert="horz" wrap="square" lIns="91440" tIns="45720" rIns="91440" bIns="45720" anchor="t" anchorCtr="0">
                        <a:noAutofit/>
                      </wps:bodyPr>
                    </wps:wsp>
                  </a:graphicData>
                </a:graphic>
                <wp14:sizeRelH relativeFrom="margin">
                  <wp14:pctWidth>40000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286.5pt;margin-top:-50.25pt;width:186.75pt;height:94.5pt;z-index:251661312;visibility:visible;mso-wrap-style:square;mso-width-percent:400;mso-height-percent:0;mso-wrap-distance-left:9pt;mso-wrap-distance-top:0;mso-wrap-distance-right:9pt;mso-wrap-distance-bottom:0;mso-position-horizontal:absolute;mso-position-horizontal-relative:text;mso-position-vertical:absolute;mso-position-vertical-relative:text;mso-width-percent:40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j6seIQIAACMEAAAOAAAAZHJzL2Uyb0RvYy54bWysU9tuGyEQfa/Uf0C813upXScrr6PUqatK&#10;6UVK+gEsy3pRgaGAvet+fQbWcaz0rSoPiGFmDmfODKubUStyEM5LMDUtZjklwnBopdnV9Ofj9t0V&#10;JT4w0zIFRtT0KDy9Wb99sxpsJUroQbXCEQQxvhpsTfsQbJVlnvdCMz8DKww6O3CaBTTdLmsdGxBd&#10;q6zM8w/ZAK61DrjwHm/vJiddJ/yuEzx87zovAlE1RW4h7S7tTdyz9YpVO8dsL/mJBvsHFppJg4+e&#10;oe5YYGTv5F9QWnIHHrow46Az6DrJRaoBqynyV9U89MyKVAuK4+1ZJv//YPm3ww9HZFvTkhLDNLbo&#10;UYyBfISRlFGdwfoKgx4shoURr7HLqVJv74H/8sTApmdmJ26dg6EXrEV2RczMLlInHB9BmuErtPgM&#10;2wdIQGPndJQOxSCIjl06njsTqXC8LN8vi2W5oISjr8DGF4vUu4xVz+nW+fBZgCbxUFOHrU/w7HDv&#10;Q6TDqueQ+JoHJdutVCoZbtdslCMHhmOyTStV8CpMGTLU9HqBRGKWgZifJkjLgGOspK7pVR7XNFhR&#10;jk+mTSGBSTWdkYkyJ32iJJM4YWzG1IgkXtSugfaIgjmYphZ/GR56cH8oGXBia+p/75kTlKgvBkW/&#10;LubzOOLJmC+WJRru0tNcepjhCFXTQMl03IT0LabCbrE5nUyyvTA5UcZJTGqefk0c9Us7Rb387fUT&#10;AAAA//8DAFBLAwQUAAYACAAAACEAxJphiOAAAAALAQAADwAAAGRycy9kb3ducmV2LnhtbEyPzU7D&#10;MBCE70i8g7VI3Fo7hbQhxKkQUgRSTm15ACfe/CixHcVuGt6e5QS3Wc1o9pvsuJqRLTj73lkJ0VYA&#10;Q1s73dtWwtel2CTAfFBWq9FZlPCNHo75/V2mUu1u9oTLObSMSqxPlYQuhCnl3NcdGuW3bkJLXuNm&#10;owKdc8v1rG5Ubka+E2LPjeotfejUhO8d1sP5aiR8lnXR7ErTLGGIzFCeqo+iOUj5+LC+vQILuIa/&#10;MPziEzrkxFS5q9WejRLiwxNtCRI2kRAxMIq8PO9JVBKSJAaeZ/z/hvwHAAD//wMAUEsBAi0AFAAG&#10;AAgAAAAhALaDOJL+AAAA4QEAABMAAAAAAAAAAAAAAAAAAAAAAFtDb250ZW50X1R5cGVzXS54bWxQ&#10;SwECLQAUAAYACAAAACEAOP0h/9YAAACUAQAACwAAAAAAAAAAAAAAAAAvAQAAX3JlbHMvLnJlbHNQ&#10;SwECLQAUAAYACAAAACEAwI+rHiECAAAjBAAADgAAAAAAAAAAAAAAAAAuAgAAZHJzL2Uyb0RvYy54&#10;bWxQSwECLQAUAAYACAAAACEAxJphiOAAAAALAQAADwAAAAAAAAAAAAAAAAB7BAAAZHJzL2Rvd25y&#10;ZXYueG1sUEsFBgAAAAAEAAQA8wAAAIgFAAAAAA==&#10;" stroked="f">
                <v:textbox>
                  <w:txbxContent>
                    <w:p w:rsidR="0092010E" w:rsidRPr="00714762" w:rsidRDefault="00714762" w:rsidP="0092010E">
                      <w:pPr>
                        <w:rPr>
                          <w:i/>
                        </w:rPr>
                      </w:pPr>
                      <w:r w:rsidRPr="00714762">
                        <w:rPr>
                          <w:i/>
                          <w:color w:val="000000" w:themeColor="text1"/>
                        </w:rPr>
                        <w:t>Background note on top-up funding requirements under the Support to National REDD+ Action: Global Programme Framework 2011-2015 (SNA).</w:t>
                      </w:r>
                    </w:p>
                  </w:txbxContent>
                </v:textbox>
              </v:shape>
            </w:pict>
          </mc:Fallback>
        </mc:AlternateContent>
      </w:r>
      <w:r w:rsidR="0098675D" w:rsidRPr="00F13D55">
        <w:rPr>
          <w:noProof/>
          <w:lang w:val="en-US" w:eastAsia="en-US"/>
        </w:rPr>
        <w:drawing>
          <wp:anchor distT="0" distB="0" distL="114300" distR="114300" simplePos="0" relativeHeight="251659264" behindDoc="1" locked="0" layoutInCell="1" allowOverlap="1" wp14:anchorId="79E611ED" wp14:editId="0A4AA71D">
            <wp:simplePos x="0" y="0"/>
            <wp:positionH relativeFrom="column">
              <wp:posOffset>-123825</wp:posOffset>
            </wp:positionH>
            <wp:positionV relativeFrom="paragraph">
              <wp:posOffset>142875</wp:posOffset>
            </wp:positionV>
            <wp:extent cx="1657350" cy="1247140"/>
            <wp:effectExtent l="0" t="0" r="0" b="0"/>
            <wp:wrapNone/>
            <wp:docPr id="1" name="Picture 1" descr="UN-REDD_full_logo_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UN-REDD_full_logo_EN"/>
                    <pic:cNvPicPr>
                      <a:picLocks noChangeAspect="1" noChangeArrowheads="1"/>
                    </pic:cNvPicPr>
                  </pic:nvPicPr>
                  <pic:blipFill>
                    <a:blip r:embed="rId9" cstate="print"/>
                    <a:srcRect/>
                    <a:stretch>
                      <a:fillRect/>
                    </a:stretch>
                  </pic:blipFill>
                  <pic:spPr bwMode="auto">
                    <a:xfrm>
                      <a:off x="0" y="0"/>
                      <a:ext cx="1657350" cy="1247140"/>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p>
    <w:p w:rsidR="0092010E" w:rsidRPr="00F13D55" w:rsidRDefault="00714762" w:rsidP="0092010E">
      <w:pPr>
        <w:spacing w:after="0"/>
        <w:ind w:left="2880" w:hanging="2880"/>
        <w:jc w:val="center"/>
        <w:rPr>
          <w:b/>
          <w:i/>
          <w:color w:val="000000" w:themeColor="text1"/>
          <w:sz w:val="28"/>
          <w:szCs w:val="28"/>
        </w:rPr>
      </w:pPr>
      <w:r>
        <w:rPr>
          <w:b/>
          <w:i/>
          <w:noProof/>
          <w:color w:val="000000" w:themeColor="text1"/>
          <w:sz w:val="28"/>
          <w:szCs w:val="28"/>
          <w:lang w:val="en-US" w:eastAsia="en-US"/>
        </w:rPr>
        <mc:AlternateContent>
          <mc:Choice Requires="wps">
            <w:drawing>
              <wp:anchor distT="0" distB="0" distL="114300" distR="114300" simplePos="0" relativeHeight="251660288" behindDoc="0" locked="0" layoutInCell="1" allowOverlap="1" wp14:anchorId="4ECE9F40" wp14:editId="67C04B64">
                <wp:simplePos x="0" y="0"/>
                <wp:positionH relativeFrom="column">
                  <wp:posOffset>1800225</wp:posOffset>
                </wp:positionH>
                <wp:positionV relativeFrom="paragraph">
                  <wp:posOffset>149860</wp:posOffset>
                </wp:positionV>
                <wp:extent cx="4210050" cy="790575"/>
                <wp:effectExtent l="0" t="0" r="0" b="9525"/>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10050" cy="790575"/>
                        </a:xfrm>
                        <a:prstGeom prst="rect">
                          <a:avLst/>
                        </a:prstGeom>
                        <a:solidFill>
                          <a:srgbClr val="FFFFFF"/>
                        </a:solidFill>
                        <a:ln w="9525">
                          <a:noFill/>
                          <a:miter lim="800000"/>
                          <a:headEnd/>
                          <a:tailEnd/>
                        </a:ln>
                      </wps:spPr>
                      <wps:txbx>
                        <w:txbxContent>
                          <w:p w:rsidR="00714762" w:rsidRPr="00714762" w:rsidRDefault="00714762" w:rsidP="00714762">
                            <w:pPr>
                              <w:rPr>
                                <w:b/>
                                <w:sz w:val="32"/>
                              </w:rPr>
                            </w:pPr>
                            <w:r w:rsidRPr="00714762">
                              <w:rPr>
                                <w:b/>
                                <w:sz w:val="32"/>
                              </w:rPr>
                              <w:t xml:space="preserve">Programme Strategy Development </w:t>
                            </w:r>
                          </w:p>
                          <w:p w:rsidR="0092010E" w:rsidRPr="00714762" w:rsidRDefault="00714762" w:rsidP="00714762">
                            <w:pPr>
                              <w:rPr>
                                <w:sz w:val="28"/>
                                <w:szCs w:val="28"/>
                              </w:rPr>
                            </w:pPr>
                            <w:r w:rsidRPr="00714762">
                              <w:rPr>
                                <w:b/>
                                <w:sz w:val="28"/>
                                <w:szCs w:val="28"/>
                              </w:rPr>
                              <w:t>(Top-up amount requested)</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type="#_x0000_t202" style="position:absolute;left:0;text-align:left;margin-left:141.75pt;margin-top:11.8pt;width:331.5pt;height:62.2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azl8IQIAAB0EAAAOAAAAZHJzL2Uyb0RvYy54bWysU9uO2yAQfa/Uf0C8N3bcuNlYcVbbbFNV&#10;2l6k3X4AxjhGBYYCib39+h1wNpu2b1V5QAwzczhzZlhfj1qRo3BegqnpfJZTIgyHVpp9Tb8/7N5c&#10;UeIDMy1TYERNH4Wn15vXr9aDrUQBPahWOIIgxleDrWkfgq2yzPNeaOZnYIVBZwdOs4Cm22etYwOi&#10;a5UVef4uG8C11gEX3uPt7eSkm4TfdYKHr13nRSCqpsgtpN2lvYl7tlmzau+Y7SU/0WD/wEIzafDR&#10;M9QtC4wcnPwLSkvuwEMXZhx0Bl0nuUg1YDXz/I9q7ntmRaoFxfH2LJP/f7D8y/GbI7Kt6dt8SYlh&#10;Gpv0IMZA3sNIiqjPYH2FYfcWA8OI19jnVKu3d8B/eGJg2zOzFzfOwdAL1iK/eczMLlInHB9BmuEz&#10;tPgMOwRIQGPndBQP5SCIjn16PPcmUuF4uSjmeV6ii6NvucrLZZmeYNVztnU+fBSgSTzU1GHvEzo7&#10;3vkQ2bDqOSQ+5kHJdieVSobbN1vlyJHhnOzSOqH/FqYMGWq6KosyIRuI+WmEtAw4x0rqml7lccV0&#10;VkU1Ppg2nQOTajojE2VO8kRFJm3C2IwYGDVroH1EoRxM84r/Cw89uF+UDDirNfU/D8wJStQng2Kv&#10;5otFHO5kLMplgYa79DSXHmY4QtU0UDIdtyF9iMjXwA02pZNJrxcmJ644g0nG03+JQ35pp6iXX715&#10;AgAA//8DAFBLAwQUAAYACAAAACEAk9cl7t4AAAAKAQAADwAAAGRycy9kb3ducmV2LnhtbEyPz26C&#10;QBCH7036Dpsx6aWpi4qIlMW0Tdr0qvUBFnYEIjtL2FXw7Ts91dv8+fKbb/LdZDtxxcG3jhQs5hEI&#10;pMqZlmoFx5/PlxSED5qM7hyhght62BWPD7nOjBtpj9dDqAWHkM+0giaEPpPSVw1a7eeuR+LdyQ1W&#10;B26HWppBjxxuO7mMokRa3RJfaHSPHw1W58PFKjh9j8/r7Vh+heNmHyfvut2U7qbU02x6ewURcAr/&#10;MPzpszoU7FS6CxkvOgXLdLVmlItVAoKBbZzwoGQyThcgi1zev1D8AgAA//8DAFBLAQItABQABgAI&#10;AAAAIQC2gziS/gAAAOEBAAATAAAAAAAAAAAAAAAAAAAAAABbQ29udGVudF9UeXBlc10ueG1sUEsB&#10;Ai0AFAAGAAgAAAAhADj9If/WAAAAlAEAAAsAAAAAAAAAAAAAAAAALwEAAF9yZWxzLy5yZWxzUEsB&#10;Ai0AFAAGAAgAAAAhAAVrOXwhAgAAHQQAAA4AAAAAAAAAAAAAAAAALgIAAGRycy9lMm9Eb2MueG1s&#10;UEsBAi0AFAAGAAgAAAAhAJPXJe7eAAAACgEAAA8AAAAAAAAAAAAAAAAAewQAAGRycy9kb3ducmV2&#10;LnhtbFBLBQYAAAAABAAEAPMAAACGBQAAAAA=&#10;" stroked="f">
                <v:textbox>
                  <w:txbxContent>
                    <w:p w:rsidR="00714762" w:rsidRPr="00714762" w:rsidRDefault="00714762" w:rsidP="00714762">
                      <w:pPr>
                        <w:rPr>
                          <w:b/>
                          <w:sz w:val="32"/>
                        </w:rPr>
                      </w:pPr>
                      <w:r w:rsidRPr="00714762">
                        <w:rPr>
                          <w:b/>
                          <w:sz w:val="32"/>
                        </w:rPr>
                        <w:t xml:space="preserve">Programme Strategy Development </w:t>
                      </w:r>
                    </w:p>
                    <w:p w:rsidR="0092010E" w:rsidRPr="00714762" w:rsidRDefault="00714762" w:rsidP="00714762">
                      <w:pPr>
                        <w:rPr>
                          <w:sz w:val="28"/>
                          <w:szCs w:val="28"/>
                        </w:rPr>
                      </w:pPr>
                      <w:r w:rsidRPr="00714762">
                        <w:rPr>
                          <w:b/>
                          <w:sz w:val="28"/>
                          <w:szCs w:val="28"/>
                        </w:rPr>
                        <w:t>(Top-up amount requested)</w:t>
                      </w:r>
                    </w:p>
                  </w:txbxContent>
                </v:textbox>
              </v:shape>
            </w:pict>
          </mc:Fallback>
        </mc:AlternateContent>
      </w:r>
    </w:p>
    <w:p w:rsidR="0092010E" w:rsidRPr="00F13D55" w:rsidRDefault="0092010E" w:rsidP="0092010E">
      <w:pPr>
        <w:rPr>
          <w:b/>
          <w:sz w:val="28"/>
          <w:szCs w:val="28"/>
        </w:rPr>
      </w:pPr>
      <w:r w:rsidRPr="00F13D55">
        <w:rPr>
          <w:b/>
          <w:i/>
          <w:color w:val="000000" w:themeColor="text1"/>
          <w:sz w:val="28"/>
          <w:szCs w:val="28"/>
        </w:rPr>
        <w:t xml:space="preserve">   </w:t>
      </w:r>
      <w:r w:rsidRPr="00F13D55">
        <w:rPr>
          <w:b/>
          <w:i/>
          <w:color w:val="000000" w:themeColor="text1"/>
          <w:sz w:val="28"/>
          <w:szCs w:val="28"/>
        </w:rPr>
        <w:tab/>
      </w:r>
    </w:p>
    <w:p w:rsidR="007E2BF7" w:rsidRDefault="007E2BF7"/>
    <w:tbl>
      <w:tblPr>
        <w:tblStyle w:val="MediumGrid3-Accent1"/>
        <w:tblW w:w="0" w:type="auto"/>
        <w:tblLook w:val="04A0" w:firstRow="1" w:lastRow="0" w:firstColumn="1" w:lastColumn="0" w:noHBand="0" w:noVBand="1"/>
      </w:tblPr>
      <w:tblGrid>
        <w:gridCol w:w="2943"/>
        <w:gridCol w:w="6521"/>
      </w:tblGrid>
      <w:tr w:rsidR="0092010E" w:rsidTr="00913D59">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464" w:type="dxa"/>
            <w:gridSpan w:val="2"/>
          </w:tcPr>
          <w:p w:rsidR="0092010E" w:rsidRPr="006F294D" w:rsidRDefault="0092010E">
            <w:pPr>
              <w:rPr>
                <w:sz w:val="24"/>
                <w:szCs w:val="24"/>
              </w:rPr>
            </w:pPr>
            <w:r w:rsidRPr="006F294D">
              <w:rPr>
                <w:sz w:val="24"/>
                <w:szCs w:val="24"/>
              </w:rPr>
              <w:t>I. Summary</w:t>
            </w:r>
          </w:p>
        </w:tc>
      </w:tr>
      <w:tr w:rsidR="0092010E" w:rsidTr="00913D5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43" w:type="dxa"/>
          </w:tcPr>
          <w:p w:rsidR="0092010E" w:rsidRPr="006F294D" w:rsidRDefault="0092010E" w:rsidP="006F373A">
            <w:pPr>
              <w:spacing w:before="240"/>
              <w:rPr>
                <w:sz w:val="24"/>
                <w:szCs w:val="24"/>
              </w:rPr>
            </w:pPr>
            <w:r w:rsidRPr="006F294D">
              <w:rPr>
                <w:sz w:val="24"/>
                <w:szCs w:val="24"/>
              </w:rPr>
              <w:t>Objective</w:t>
            </w:r>
          </w:p>
        </w:tc>
        <w:tc>
          <w:tcPr>
            <w:tcW w:w="6521" w:type="dxa"/>
            <w:shd w:val="clear" w:color="auto" w:fill="DBE5F1" w:themeFill="accent1" w:themeFillTint="33"/>
          </w:tcPr>
          <w:p w:rsidR="0098675D" w:rsidRPr="00714762" w:rsidRDefault="00714762" w:rsidP="006F373A">
            <w:pPr>
              <w:spacing w:before="240" w:line="276" w:lineRule="auto"/>
              <w:cnfStyle w:val="000000100000" w:firstRow="0" w:lastRow="0" w:firstColumn="0" w:lastColumn="0" w:oddVBand="0" w:evenVBand="0" w:oddHBand="1" w:evenHBand="0" w:firstRowFirstColumn="0" w:firstRowLastColumn="0" w:lastRowFirstColumn="0" w:lastRowLastColumn="0"/>
            </w:pPr>
            <w:r w:rsidRPr="00714762">
              <w:t>Posi</w:t>
            </w:r>
            <w:r w:rsidR="0002252C">
              <w:t>tion the programme for the P</w:t>
            </w:r>
            <w:r w:rsidR="006F373A">
              <w:t>ost-</w:t>
            </w:r>
            <w:r w:rsidR="0002252C">
              <w:t>2015 P</w:t>
            </w:r>
            <w:r w:rsidRPr="00714762">
              <w:t>eriod.</w:t>
            </w:r>
          </w:p>
        </w:tc>
      </w:tr>
      <w:tr w:rsidR="0092010E" w:rsidTr="00913D59">
        <w:tc>
          <w:tcPr>
            <w:cnfStyle w:val="001000000000" w:firstRow="0" w:lastRow="0" w:firstColumn="1" w:lastColumn="0" w:oddVBand="0" w:evenVBand="0" w:oddHBand="0" w:evenHBand="0" w:firstRowFirstColumn="0" w:firstRowLastColumn="0" w:lastRowFirstColumn="0" w:lastRowLastColumn="0"/>
            <w:tcW w:w="2943" w:type="dxa"/>
          </w:tcPr>
          <w:p w:rsidR="0092010E" w:rsidRPr="006F294D" w:rsidRDefault="0092010E" w:rsidP="0098675D">
            <w:pPr>
              <w:spacing w:before="240"/>
              <w:rPr>
                <w:sz w:val="24"/>
                <w:szCs w:val="24"/>
              </w:rPr>
            </w:pPr>
            <w:r w:rsidRPr="006F294D">
              <w:rPr>
                <w:sz w:val="24"/>
                <w:szCs w:val="24"/>
              </w:rPr>
              <w:t>Expected results</w:t>
            </w:r>
          </w:p>
        </w:tc>
        <w:tc>
          <w:tcPr>
            <w:tcW w:w="6521" w:type="dxa"/>
            <w:shd w:val="clear" w:color="auto" w:fill="DBE5F1" w:themeFill="accent1" w:themeFillTint="33"/>
          </w:tcPr>
          <w:p w:rsidR="00714762" w:rsidRPr="00714762" w:rsidRDefault="00714762" w:rsidP="006F373A">
            <w:pPr>
              <w:pStyle w:val="ListParagraph"/>
              <w:numPr>
                <w:ilvl w:val="0"/>
                <w:numId w:val="16"/>
              </w:numPr>
              <w:spacing w:before="240" w:line="276" w:lineRule="auto"/>
              <w:cnfStyle w:val="000000000000" w:firstRow="0" w:lastRow="0" w:firstColumn="0" w:lastColumn="0" w:oddVBand="0" w:evenVBand="0" w:oddHBand="0" w:evenHBand="0" w:firstRowFirstColumn="0" w:firstRowLastColumn="0" w:lastRowFirstColumn="0" w:lastRowLastColumn="0"/>
            </w:pPr>
            <w:r w:rsidRPr="00714762">
              <w:t>Systematic and detailed lessons learned from the UN-REDD Programme’s fi</w:t>
            </w:r>
            <w:r w:rsidR="0002252C">
              <w:t>rst five years to inform Post-</w:t>
            </w:r>
            <w:r w:rsidRPr="00714762">
              <w:t>2015 Strategy.</w:t>
            </w:r>
          </w:p>
          <w:p w:rsidR="0092010E" w:rsidRPr="00714762" w:rsidRDefault="00714762" w:rsidP="006F373A">
            <w:pPr>
              <w:pStyle w:val="ListParagraph"/>
              <w:numPr>
                <w:ilvl w:val="0"/>
                <w:numId w:val="16"/>
              </w:numPr>
              <w:spacing w:before="240" w:line="276" w:lineRule="auto"/>
              <w:cnfStyle w:val="000000000000" w:firstRow="0" w:lastRow="0" w:firstColumn="0" w:lastColumn="0" w:oddVBand="0" w:evenVBand="0" w:oddHBand="0" w:evenHBand="0" w:firstRowFirstColumn="0" w:firstRowLastColumn="0" w:lastRowFirstColumn="0" w:lastRowLastColumn="0"/>
            </w:pPr>
            <w:r w:rsidRPr="00714762">
              <w:t>PB members and stakeholders are engaged and consulted on develo</w:t>
            </w:r>
            <w:r w:rsidR="0002252C">
              <w:t>pment of UN-REDD Programme Post-</w:t>
            </w:r>
            <w:r w:rsidRPr="00714762">
              <w:t>2015 Strategy through robust multi-stakeholder process, leading to endorsement of new Strategy at PB13 in October 2014.</w:t>
            </w:r>
          </w:p>
        </w:tc>
      </w:tr>
      <w:tr w:rsidR="0092010E" w:rsidTr="00913D5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43" w:type="dxa"/>
          </w:tcPr>
          <w:p w:rsidR="0092010E" w:rsidRPr="006F294D" w:rsidRDefault="0092010E" w:rsidP="0098675D">
            <w:pPr>
              <w:spacing w:before="240"/>
              <w:rPr>
                <w:sz w:val="24"/>
                <w:szCs w:val="24"/>
              </w:rPr>
            </w:pPr>
            <w:r w:rsidRPr="006F294D">
              <w:rPr>
                <w:sz w:val="24"/>
                <w:szCs w:val="24"/>
              </w:rPr>
              <w:t>Level of intervention</w:t>
            </w:r>
          </w:p>
        </w:tc>
        <w:tc>
          <w:tcPr>
            <w:tcW w:w="6521" w:type="dxa"/>
            <w:shd w:val="clear" w:color="auto" w:fill="DBE5F1" w:themeFill="accent1" w:themeFillTint="33"/>
          </w:tcPr>
          <w:p w:rsidR="0098675D" w:rsidRPr="00714762" w:rsidRDefault="00714762" w:rsidP="006F373A">
            <w:pPr>
              <w:spacing w:before="240" w:line="276" w:lineRule="auto"/>
              <w:cnfStyle w:val="000000100000" w:firstRow="0" w:lastRow="0" w:firstColumn="0" w:lastColumn="0" w:oddVBand="0" w:evenVBand="0" w:oddHBand="1" w:evenHBand="0" w:firstRowFirstColumn="0" w:firstRowLastColumn="0" w:lastRowFirstColumn="0" w:lastRowLastColumn="0"/>
            </w:pPr>
            <w:r w:rsidRPr="00714762">
              <w:t>Global, regional, and country</w:t>
            </w:r>
          </w:p>
        </w:tc>
      </w:tr>
      <w:tr w:rsidR="0092010E" w:rsidTr="00913D59">
        <w:tc>
          <w:tcPr>
            <w:cnfStyle w:val="001000000000" w:firstRow="0" w:lastRow="0" w:firstColumn="1" w:lastColumn="0" w:oddVBand="0" w:evenVBand="0" w:oddHBand="0" w:evenHBand="0" w:firstRowFirstColumn="0" w:firstRowLastColumn="0" w:lastRowFirstColumn="0" w:lastRowLastColumn="0"/>
            <w:tcW w:w="2943" w:type="dxa"/>
          </w:tcPr>
          <w:p w:rsidR="0092010E" w:rsidRDefault="0036590B" w:rsidP="0098675D">
            <w:pPr>
              <w:spacing w:before="240"/>
            </w:pPr>
            <w:r w:rsidRPr="006F294D">
              <w:rPr>
                <w:sz w:val="24"/>
                <w:szCs w:val="24"/>
              </w:rPr>
              <w:t>Related work a</w:t>
            </w:r>
            <w:r w:rsidR="0092010E" w:rsidRPr="006F294D">
              <w:rPr>
                <w:sz w:val="24"/>
                <w:szCs w:val="24"/>
              </w:rPr>
              <w:t xml:space="preserve">rea, as defined in the </w:t>
            </w:r>
            <w:hyperlink r:id="rId10" w:history="1">
              <w:r w:rsidR="0092010E" w:rsidRPr="006F294D">
                <w:rPr>
                  <w:rStyle w:val="Hyperlink"/>
                  <w:bCs w:val="0"/>
                  <w:color w:val="FFFFFF" w:themeColor="background1"/>
                  <w:sz w:val="24"/>
                  <w:szCs w:val="24"/>
                </w:rPr>
                <w:t>UN-REDD Programme Strategy</w:t>
              </w:r>
            </w:hyperlink>
            <w:r>
              <w:rPr>
                <w:rStyle w:val="FootnoteReference"/>
              </w:rPr>
              <w:footnoteReference w:id="1"/>
            </w:r>
          </w:p>
        </w:tc>
        <w:tc>
          <w:tcPr>
            <w:tcW w:w="6521" w:type="dxa"/>
            <w:shd w:val="clear" w:color="auto" w:fill="DBE5F1" w:themeFill="accent1" w:themeFillTint="33"/>
          </w:tcPr>
          <w:p w:rsidR="0098675D" w:rsidRPr="00714762" w:rsidRDefault="00714762" w:rsidP="000F3FD8">
            <w:pPr>
              <w:spacing w:before="240" w:line="276" w:lineRule="auto"/>
              <w:cnfStyle w:val="000000000000" w:firstRow="0" w:lastRow="0" w:firstColumn="0" w:lastColumn="0" w:oddVBand="0" w:evenVBand="0" w:oddHBand="0" w:evenHBand="0" w:firstRowFirstColumn="0" w:firstRowLastColumn="0" w:lastRowFirstColumn="0" w:lastRowLastColumn="0"/>
            </w:pPr>
            <w:r w:rsidRPr="00714762">
              <w:t>This background note</w:t>
            </w:r>
            <w:r w:rsidRPr="00714762">
              <w:rPr>
                <w:rFonts w:cstheme="minorHAnsi"/>
                <w:vertAlign w:val="superscript"/>
              </w:rPr>
              <w:footnoteReference w:id="2"/>
            </w:r>
            <w:r w:rsidRPr="00714762">
              <w:rPr>
                <w:rFonts w:cstheme="minorHAnsi"/>
              </w:rPr>
              <w:t xml:space="preserve"> </w:t>
            </w:r>
            <w:r w:rsidRPr="00714762">
              <w:t xml:space="preserve">refers to all the UN-REDD Programme work areas and relates, in particular to </w:t>
            </w:r>
            <w:r w:rsidR="000F3FD8">
              <w:t xml:space="preserve">Outcome 8, </w:t>
            </w:r>
            <w:r w:rsidRPr="000F3FD8">
              <w:t>Timely and effective UN-REDD Programme Secretariat services provided to the UN-REDD partner countries, Policy Board and the UN agencies</w:t>
            </w:r>
            <w:r w:rsidR="000F3FD8">
              <w:t>,</w:t>
            </w:r>
            <w:r w:rsidRPr="00714762">
              <w:t xml:space="preserve"> of the Support to National REDD+ Action: Global Programme Framework 2011-2015 (SNA).</w:t>
            </w:r>
          </w:p>
        </w:tc>
      </w:tr>
      <w:tr w:rsidR="0092010E" w:rsidTr="00913D5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43" w:type="dxa"/>
          </w:tcPr>
          <w:p w:rsidR="0092010E" w:rsidRPr="006F294D" w:rsidRDefault="00EB7A93" w:rsidP="0098675D">
            <w:pPr>
              <w:spacing w:before="240"/>
              <w:rPr>
                <w:sz w:val="24"/>
                <w:szCs w:val="24"/>
              </w:rPr>
            </w:pPr>
            <w:r>
              <w:rPr>
                <w:sz w:val="24"/>
                <w:szCs w:val="24"/>
              </w:rPr>
              <w:t>Total concept d</w:t>
            </w:r>
            <w:r w:rsidR="0092010E" w:rsidRPr="006F294D">
              <w:rPr>
                <w:sz w:val="24"/>
                <w:szCs w:val="24"/>
              </w:rPr>
              <w:t>uration</w:t>
            </w:r>
          </w:p>
        </w:tc>
        <w:tc>
          <w:tcPr>
            <w:tcW w:w="6521" w:type="dxa"/>
            <w:shd w:val="clear" w:color="auto" w:fill="DBE5F1" w:themeFill="accent1" w:themeFillTint="33"/>
          </w:tcPr>
          <w:p w:rsidR="0098675D" w:rsidRPr="00714762" w:rsidRDefault="00714762" w:rsidP="006F373A">
            <w:pPr>
              <w:spacing w:before="240" w:line="276" w:lineRule="auto"/>
              <w:cnfStyle w:val="000000100000" w:firstRow="0" w:lastRow="0" w:firstColumn="0" w:lastColumn="0" w:oddVBand="0" w:evenVBand="0" w:oddHBand="1" w:evenHBand="0" w:firstRowFirstColumn="0" w:firstRowLastColumn="0" w:lastRowFirstColumn="0" w:lastRowLastColumn="0"/>
            </w:pPr>
            <w:r w:rsidRPr="00714762">
              <w:rPr>
                <w:rFonts w:cstheme="minorHAnsi"/>
                <w:color w:val="000000" w:themeColor="text1"/>
              </w:rPr>
              <w:t>1 Jan 2014-31 Dec 2014 (12 months)</w:t>
            </w:r>
          </w:p>
        </w:tc>
      </w:tr>
      <w:tr w:rsidR="0092010E" w:rsidTr="00913D59">
        <w:tc>
          <w:tcPr>
            <w:cnfStyle w:val="001000000000" w:firstRow="0" w:lastRow="0" w:firstColumn="1" w:lastColumn="0" w:oddVBand="0" w:evenVBand="0" w:oddHBand="0" w:evenHBand="0" w:firstRowFirstColumn="0" w:firstRowLastColumn="0" w:lastRowFirstColumn="0" w:lastRowLastColumn="0"/>
            <w:tcW w:w="2943" w:type="dxa"/>
          </w:tcPr>
          <w:p w:rsidR="0092010E" w:rsidRPr="006F294D" w:rsidRDefault="00714762" w:rsidP="00EB7A93">
            <w:pPr>
              <w:spacing w:before="240"/>
              <w:rPr>
                <w:sz w:val="24"/>
                <w:szCs w:val="24"/>
              </w:rPr>
            </w:pPr>
            <w:r>
              <w:rPr>
                <w:sz w:val="24"/>
                <w:szCs w:val="24"/>
              </w:rPr>
              <w:t>Total amount requested</w:t>
            </w:r>
          </w:p>
        </w:tc>
        <w:tc>
          <w:tcPr>
            <w:tcW w:w="6521" w:type="dxa"/>
            <w:shd w:val="clear" w:color="auto" w:fill="DBE5F1" w:themeFill="accent1" w:themeFillTint="33"/>
          </w:tcPr>
          <w:p w:rsidR="0098675D" w:rsidRDefault="00714762" w:rsidP="006F373A">
            <w:pPr>
              <w:spacing w:before="240" w:line="276" w:lineRule="auto"/>
              <w:cnfStyle w:val="000000000000" w:firstRow="0" w:lastRow="0" w:firstColumn="0" w:lastColumn="0" w:oddVBand="0" w:evenVBand="0" w:oddHBand="0" w:evenHBand="0" w:firstRowFirstColumn="0" w:firstRowLastColumn="0" w:lastRowFirstColumn="0" w:lastRowLastColumn="0"/>
            </w:pPr>
            <w:r w:rsidRPr="00714762">
              <w:t>US$ 500,000 for activities to be undertaken until 31 December 2014</w:t>
            </w:r>
            <w:r w:rsidRPr="00714762">
              <w:rPr>
                <w:rStyle w:val="FootnoteReference"/>
              </w:rPr>
              <w:footnoteReference w:id="3"/>
            </w:r>
          </w:p>
          <w:p w:rsidR="00913D59" w:rsidRPr="00714762" w:rsidRDefault="00913D59" w:rsidP="006F373A">
            <w:pPr>
              <w:spacing w:before="240" w:line="276" w:lineRule="auto"/>
              <w:cnfStyle w:val="000000000000" w:firstRow="0" w:lastRow="0" w:firstColumn="0" w:lastColumn="0" w:oddVBand="0" w:evenVBand="0" w:oddHBand="0" w:evenHBand="0" w:firstRowFirstColumn="0" w:firstRowLastColumn="0" w:lastRowFirstColumn="0" w:lastRowLastColumn="0"/>
            </w:pPr>
          </w:p>
        </w:tc>
      </w:tr>
    </w:tbl>
    <w:p w:rsidR="00311574" w:rsidRDefault="00311574">
      <w:r>
        <w:br w:type="page"/>
      </w:r>
    </w:p>
    <w:tbl>
      <w:tblPr>
        <w:tblStyle w:val="MediumGrid3-Accent1"/>
        <w:tblW w:w="0" w:type="auto"/>
        <w:tblLook w:val="04A0" w:firstRow="1" w:lastRow="0" w:firstColumn="1" w:lastColumn="0" w:noHBand="0" w:noVBand="1"/>
      </w:tblPr>
      <w:tblGrid>
        <w:gridCol w:w="9576"/>
      </w:tblGrid>
      <w:tr w:rsidR="0092010E" w:rsidTr="0092010E">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576" w:type="dxa"/>
          </w:tcPr>
          <w:p w:rsidR="0092010E" w:rsidRPr="006F294D" w:rsidRDefault="0092010E">
            <w:pPr>
              <w:rPr>
                <w:sz w:val="24"/>
                <w:szCs w:val="24"/>
              </w:rPr>
            </w:pPr>
            <w:r w:rsidRPr="006F294D">
              <w:rPr>
                <w:sz w:val="24"/>
                <w:szCs w:val="24"/>
              </w:rPr>
              <w:lastRenderedPageBreak/>
              <w:t>II. Background</w:t>
            </w:r>
          </w:p>
        </w:tc>
      </w:tr>
      <w:tr w:rsidR="0092010E" w:rsidTr="0092010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576" w:type="dxa"/>
            <w:shd w:val="clear" w:color="auto" w:fill="DBE5F1" w:themeFill="accent1" w:themeFillTint="33"/>
          </w:tcPr>
          <w:p w:rsidR="00311574" w:rsidRDefault="00311574" w:rsidP="006F373A">
            <w:pPr>
              <w:spacing w:before="240" w:line="276" w:lineRule="auto"/>
              <w:rPr>
                <w:b w:val="0"/>
                <w:color w:val="auto"/>
              </w:rPr>
            </w:pPr>
            <w:r w:rsidRPr="00311574">
              <w:rPr>
                <w:b w:val="0"/>
                <w:color w:val="auto"/>
              </w:rPr>
              <w:t xml:space="preserve">As the Programme’s existing </w:t>
            </w:r>
            <w:proofErr w:type="spellStart"/>
            <w:r w:rsidRPr="00311574">
              <w:rPr>
                <w:b w:val="0"/>
                <w:color w:val="auto"/>
              </w:rPr>
              <w:t>MoU</w:t>
            </w:r>
            <w:proofErr w:type="spellEnd"/>
            <w:r w:rsidRPr="00311574">
              <w:rPr>
                <w:b w:val="0"/>
                <w:color w:val="auto"/>
              </w:rPr>
              <w:t xml:space="preserve"> and Strategy extend until 2015, it is necessary to review the strategic direction for the Programme from 2016 onwards, building on work and achievements to date. In particular, in order to position </w:t>
            </w:r>
            <w:r w:rsidR="0002252C">
              <w:rPr>
                <w:b w:val="0"/>
                <w:color w:val="auto"/>
              </w:rPr>
              <w:t>the Programme well for the Post-2015 P</w:t>
            </w:r>
            <w:r w:rsidRPr="00311574">
              <w:rPr>
                <w:b w:val="0"/>
                <w:color w:val="auto"/>
              </w:rPr>
              <w:t xml:space="preserve">eriod, it is necessary to revise the Programme Strategy, taking lessons learned to date into account, and developing a common vision to frame the next phase of the Programme. </w:t>
            </w:r>
          </w:p>
          <w:p w:rsidR="00311574" w:rsidRDefault="00311574" w:rsidP="006F373A">
            <w:pPr>
              <w:spacing w:before="240" w:line="276" w:lineRule="auto"/>
              <w:rPr>
                <w:b w:val="0"/>
                <w:color w:val="auto"/>
              </w:rPr>
            </w:pPr>
            <w:r w:rsidRPr="00311574">
              <w:rPr>
                <w:b w:val="0"/>
                <w:color w:val="auto"/>
              </w:rPr>
              <w:t xml:space="preserve">The transition from the existing strategy </w:t>
            </w:r>
            <w:r w:rsidR="0002252C">
              <w:rPr>
                <w:b w:val="0"/>
                <w:color w:val="auto"/>
              </w:rPr>
              <w:t>to an updated strategy for the Post 2015 P</w:t>
            </w:r>
            <w:r w:rsidRPr="00311574">
              <w:rPr>
                <w:b w:val="0"/>
                <w:color w:val="auto"/>
              </w:rPr>
              <w:t xml:space="preserve">eriod (likely </w:t>
            </w:r>
            <w:r w:rsidR="0002252C">
              <w:rPr>
                <w:b w:val="0"/>
                <w:color w:val="auto"/>
              </w:rPr>
              <w:t xml:space="preserve">years </w:t>
            </w:r>
            <w:r w:rsidRPr="00311574">
              <w:rPr>
                <w:b w:val="0"/>
                <w:color w:val="auto"/>
              </w:rPr>
              <w:t>2016</w:t>
            </w:r>
            <w:r w:rsidR="0002252C">
              <w:rPr>
                <w:b w:val="0"/>
                <w:color w:val="auto"/>
              </w:rPr>
              <w:t xml:space="preserve"> to </w:t>
            </w:r>
            <w:r w:rsidRPr="00311574">
              <w:rPr>
                <w:b w:val="0"/>
                <w:color w:val="auto"/>
              </w:rPr>
              <w:t>2020) marks a major point of transition for the UN-REDD Programme. This transition will occur during a period of significant uncertainty for REDD+ in general, but also during a period when there are significant opportunities to build upon successes and lessons learned. Additional resources are required to ensure deep buy-in and commitment from all members of the Policy Board, along with the diverse stakeholders with an interest in the future of the UN-REDD Programme.</w:t>
            </w:r>
          </w:p>
          <w:p w:rsidR="0098675D" w:rsidRPr="00311574" w:rsidRDefault="0098675D" w:rsidP="00311574">
            <w:pPr>
              <w:spacing w:after="100" w:afterAutospacing="1"/>
              <w:jc w:val="both"/>
              <w:rPr>
                <w:color w:val="000000" w:themeColor="text1"/>
              </w:rPr>
            </w:pPr>
          </w:p>
        </w:tc>
      </w:tr>
    </w:tbl>
    <w:p w:rsidR="0092010E" w:rsidRDefault="0092010E"/>
    <w:tbl>
      <w:tblPr>
        <w:tblStyle w:val="MediumGrid3-Accent1"/>
        <w:tblW w:w="0" w:type="auto"/>
        <w:tblLook w:val="04A0" w:firstRow="1" w:lastRow="0" w:firstColumn="1" w:lastColumn="0" w:noHBand="0" w:noVBand="1"/>
      </w:tblPr>
      <w:tblGrid>
        <w:gridCol w:w="9576"/>
      </w:tblGrid>
      <w:tr w:rsidR="0092010E" w:rsidTr="005338DE">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576" w:type="dxa"/>
          </w:tcPr>
          <w:p w:rsidR="0092010E" w:rsidRPr="006F294D" w:rsidRDefault="0092010E" w:rsidP="005338DE">
            <w:pPr>
              <w:rPr>
                <w:sz w:val="24"/>
                <w:szCs w:val="24"/>
              </w:rPr>
            </w:pPr>
            <w:r w:rsidRPr="006F294D">
              <w:rPr>
                <w:sz w:val="24"/>
                <w:szCs w:val="24"/>
              </w:rPr>
              <w:t>III. Results framework and theory of change</w:t>
            </w:r>
          </w:p>
        </w:tc>
      </w:tr>
      <w:tr w:rsidR="0092010E" w:rsidTr="005338D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576" w:type="dxa"/>
            <w:shd w:val="clear" w:color="auto" w:fill="DBE5F1" w:themeFill="accent1" w:themeFillTint="33"/>
          </w:tcPr>
          <w:p w:rsidR="00311574" w:rsidRPr="00311574" w:rsidRDefault="00311574" w:rsidP="006F373A">
            <w:pPr>
              <w:spacing w:before="240" w:line="276" w:lineRule="auto"/>
              <w:rPr>
                <w:b w:val="0"/>
                <w:color w:val="auto"/>
              </w:rPr>
            </w:pPr>
            <w:r w:rsidRPr="00311574">
              <w:rPr>
                <w:b w:val="0"/>
                <w:color w:val="auto"/>
              </w:rPr>
              <w:t>This work would enable the UN-REDD Programme to position the Pr</w:t>
            </w:r>
            <w:r w:rsidR="0002252C">
              <w:rPr>
                <w:b w:val="0"/>
                <w:color w:val="auto"/>
              </w:rPr>
              <w:t>ogramme well for the Post 2015 P</w:t>
            </w:r>
            <w:r w:rsidRPr="00311574">
              <w:rPr>
                <w:b w:val="0"/>
                <w:color w:val="auto"/>
              </w:rPr>
              <w:t>eriod, through reflecting on successes and lessons learned to date, and developing a common vision to frame the next phase of the Programme.</w:t>
            </w:r>
          </w:p>
          <w:p w:rsidR="00311574" w:rsidRPr="00311574" w:rsidRDefault="00311574" w:rsidP="006F373A">
            <w:pPr>
              <w:spacing w:before="240" w:line="276" w:lineRule="auto"/>
              <w:rPr>
                <w:b w:val="0"/>
                <w:color w:val="auto"/>
              </w:rPr>
            </w:pPr>
            <w:r w:rsidRPr="00311574">
              <w:rPr>
                <w:b w:val="0"/>
                <w:color w:val="auto"/>
              </w:rPr>
              <w:t>Both the analysis of lessons learned, and the development of the Post 2015 Strategy would be supported by contracting a consultant to provide continued external support.</w:t>
            </w:r>
          </w:p>
          <w:p w:rsidR="00311574" w:rsidRPr="00311574" w:rsidRDefault="00311574" w:rsidP="006F373A">
            <w:pPr>
              <w:spacing w:before="240" w:line="276" w:lineRule="auto"/>
              <w:rPr>
                <w:b w:val="0"/>
                <w:color w:val="auto"/>
              </w:rPr>
            </w:pPr>
            <w:r w:rsidRPr="00311574">
              <w:rPr>
                <w:b w:val="0"/>
                <w:color w:val="auto"/>
              </w:rPr>
              <w:t>The following list of indicat</w:t>
            </w:r>
            <w:r w:rsidR="006F373A">
              <w:rPr>
                <w:b w:val="0"/>
                <w:color w:val="auto"/>
              </w:rPr>
              <w:t>ive activities will be refined:</w:t>
            </w:r>
          </w:p>
          <w:p w:rsidR="00311574" w:rsidRPr="00311574" w:rsidRDefault="00311574" w:rsidP="006F373A">
            <w:pPr>
              <w:spacing w:before="240" w:line="276" w:lineRule="auto"/>
              <w:rPr>
                <w:b w:val="0"/>
                <w:color w:val="auto"/>
              </w:rPr>
            </w:pPr>
            <w:r w:rsidRPr="00311574">
              <w:rPr>
                <w:color w:val="auto"/>
              </w:rPr>
              <w:t>Expected Result 1</w:t>
            </w:r>
            <w:r w:rsidRPr="00311574">
              <w:rPr>
                <w:b w:val="0"/>
                <w:color w:val="auto"/>
              </w:rPr>
              <w:t xml:space="preserve"> – Systematic and detailed lessons learned from the UN-REDD Programme’s </w:t>
            </w:r>
            <w:r w:rsidR="0002252C">
              <w:rPr>
                <w:b w:val="0"/>
                <w:color w:val="auto"/>
              </w:rPr>
              <w:t>first five years to inform Post-</w:t>
            </w:r>
            <w:r w:rsidRPr="00311574">
              <w:rPr>
                <w:b w:val="0"/>
                <w:color w:val="auto"/>
              </w:rPr>
              <w:t>2015 Strategy.</w:t>
            </w:r>
          </w:p>
          <w:p w:rsidR="00311574" w:rsidRPr="00311574" w:rsidRDefault="00311574" w:rsidP="006F373A">
            <w:pPr>
              <w:spacing w:before="240" w:line="276" w:lineRule="auto"/>
              <w:rPr>
                <w:color w:val="auto"/>
              </w:rPr>
            </w:pPr>
            <w:r w:rsidRPr="00311574">
              <w:rPr>
                <w:color w:val="auto"/>
              </w:rPr>
              <w:t>Output</w:t>
            </w:r>
          </w:p>
          <w:p w:rsidR="00311574" w:rsidRPr="00311574" w:rsidRDefault="00311574" w:rsidP="006F373A">
            <w:pPr>
              <w:pStyle w:val="ListParagraph"/>
              <w:numPr>
                <w:ilvl w:val="0"/>
                <w:numId w:val="17"/>
              </w:numPr>
              <w:spacing w:line="276" w:lineRule="auto"/>
              <w:rPr>
                <w:b w:val="0"/>
                <w:color w:val="auto"/>
              </w:rPr>
            </w:pPr>
            <w:r w:rsidRPr="00311574">
              <w:rPr>
                <w:b w:val="0"/>
                <w:color w:val="auto"/>
              </w:rPr>
              <w:t xml:space="preserve">Timeline and </w:t>
            </w:r>
            <w:proofErr w:type="spellStart"/>
            <w:r w:rsidRPr="00311574">
              <w:rPr>
                <w:b w:val="0"/>
                <w:color w:val="auto"/>
              </w:rPr>
              <w:t>workplan</w:t>
            </w:r>
            <w:proofErr w:type="spellEnd"/>
            <w:r w:rsidRPr="00311574">
              <w:rPr>
                <w:b w:val="0"/>
                <w:color w:val="auto"/>
              </w:rPr>
              <w:t xml:space="preserve"> developed</w:t>
            </w:r>
          </w:p>
          <w:p w:rsidR="00311574" w:rsidRPr="00311574" w:rsidRDefault="00311574" w:rsidP="006F373A">
            <w:pPr>
              <w:pStyle w:val="ListParagraph"/>
              <w:numPr>
                <w:ilvl w:val="0"/>
                <w:numId w:val="17"/>
              </w:numPr>
              <w:spacing w:before="240" w:line="276" w:lineRule="auto"/>
              <w:rPr>
                <w:b w:val="0"/>
                <w:color w:val="auto"/>
              </w:rPr>
            </w:pPr>
            <w:r w:rsidRPr="00311574">
              <w:rPr>
                <w:b w:val="0"/>
                <w:color w:val="auto"/>
              </w:rPr>
              <w:t xml:space="preserve">Inception, draft and final Reports </w:t>
            </w:r>
          </w:p>
          <w:p w:rsidR="00311574" w:rsidRPr="00311574" w:rsidRDefault="00311574" w:rsidP="006F373A">
            <w:pPr>
              <w:spacing w:before="240" w:line="276" w:lineRule="auto"/>
              <w:rPr>
                <w:color w:val="auto"/>
              </w:rPr>
            </w:pPr>
            <w:r w:rsidRPr="00311574">
              <w:rPr>
                <w:color w:val="auto"/>
              </w:rPr>
              <w:t>Indicative Activities</w:t>
            </w:r>
          </w:p>
          <w:p w:rsidR="00311574" w:rsidRPr="00311574" w:rsidRDefault="00311574" w:rsidP="006F373A">
            <w:pPr>
              <w:pStyle w:val="ListParagraph"/>
              <w:numPr>
                <w:ilvl w:val="0"/>
                <w:numId w:val="17"/>
              </w:numPr>
              <w:spacing w:line="276" w:lineRule="auto"/>
              <w:rPr>
                <w:b w:val="0"/>
                <w:color w:val="auto"/>
              </w:rPr>
            </w:pPr>
            <w:r w:rsidRPr="00311574">
              <w:rPr>
                <w:b w:val="0"/>
                <w:color w:val="auto"/>
              </w:rPr>
              <w:t>Review and analysis undertaken by consultant, including desk review and semi structured interviews</w:t>
            </w:r>
          </w:p>
          <w:p w:rsidR="00311574" w:rsidRPr="00311574" w:rsidRDefault="00311574" w:rsidP="006F373A">
            <w:pPr>
              <w:spacing w:before="240" w:line="276" w:lineRule="auto"/>
              <w:rPr>
                <w:b w:val="0"/>
                <w:color w:val="auto"/>
              </w:rPr>
            </w:pPr>
            <w:r w:rsidRPr="00311574">
              <w:rPr>
                <w:color w:val="auto"/>
              </w:rPr>
              <w:t>Expected Result 2</w:t>
            </w:r>
            <w:r w:rsidRPr="00311574">
              <w:rPr>
                <w:b w:val="0"/>
                <w:color w:val="auto"/>
              </w:rPr>
              <w:t xml:space="preserve"> - PB members and stakeholders are engaged and consulted on development of UN-REDD Programme Post 2015 Strategy, leading to endorsement of new Strategy at PB13 in October 2014.</w:t>
            </w:r>
          </w:p>
          <w:p w:rsidR="006F373A" w:rsidRDefault="006F373A" w:rsidP="006F373A">
            <w:pPr>
              <w:spacing w:before="240" w:line="276" w:lineRule="auto"/>
              <w:rPr>
                <w:color w:val="auto"/>
              </w:rPr>
            </w:pPr>
          </w:p>
          <w:p w:rsidR="00311574" w:rsidRPr="00311574" w:rsidRDefault="00311574" w:rsidP="006F373A">
            <w:pPr>
              <w:spacing w:before="240" w:line="276" w:lineRule="auto"/>
              <w:rPr>
                <w:color w:val="auto"/>
              </w:rPr>
            </w:pPr>
            <w:r w:rsidRPr="00311574">
              <w:rPr>
                <w:color w:val="auto"/>
              </w:rPr>
              <w:lastRenderedPageBreak/>
              <w:t>Outputs</w:t>
            </w:r>
          </w:p>
          <w:p w:rsidR="00311574" w:rsidRPr="00311574" w:rsidRDefault="00311574" w:rsidP="006F373A">
            <w:pPr>
              <w:pStyle w:val="ListParagraph"/>
              <w:numPr>
                <w:ilvl w:val="0"/>
                <w:numId w:val="17"/>
              </w:numPr>
              <w:spacing w:line="276" w:lineRule="auto"/>
              <w:rPr>
                <w:b w:val="0"/>
                <w:color w:val="auto"/>
              </w:rPr>
            </w:pPr>
            <w:r w:rsidRPr="00311574">
              <w:rPr>
                <w:b w:val="0"/>
                <w:color w:val="auto"/>
              </w:rPr>
              <w:t xml:space="preserve">Timeline and process for revision of the Programme Strategy developed </w:t>
            </w:r>
          </w:p>
          <w:p w:rsidR="00311574" w:rsidRPr="00311574" w:rsidRDefault="00311574" w:rsidP="006F373A">
            <w:pPr>
              <w:pStyle w:val="ListParagraph"/>
              <w:numPr>
                <w:ilvl w:val="0"/>
                <w:numId w:val="17"/>
              </w:numPr>
              <w:spacing w:line="276" w:lineRule="auto"/>
              <w:rPr>
                <w:b w:val="0"/>
                <w:color w:val="auto"/>
              </w:rPr>
            </w:pPr>
            <w:r w:rsidRPr="00311574">
              <w:rPr>
                <w:b w:val="0"/>
                <w:color w:val="auto"/>
              </w:rPr>
              <w:t>Information paper outlining process for Policy Board members and observers</w:t>
            </w:r>
          </w:p>
          <w:p w:rsidR="00311574" w:rsidRPr="00311574" w:rsidRDefault="00311574" w:rsidP="006F373A">
            <w:pPr>
              <w:pStyle w:val="ListParagraph"/>
              <w:numPr>
                <w:ilvl w:val="0"/>
                <w:numId w:val="17"/>
              </w:numPr>
              <w:spacing w:line="276" w:lineRule="auto"/>
              <w:rPr>
                <w:b w:val="0"/>
                <w:color w:val="auto"/>
              </w:rPr>
            </w:pPr>
            <w:r w:rsidRPr="00311574">
              <w:rPr>
                <w:b w:val="0"/>
                <w:color w:val="auto"/>
              </w:rPr>
              <w:t xml:space="preserve">Discussion Paper with analysis of the role that the UN-REDD Programme can play in supporting countries beyond 2015, taking into consideration the climate change finance architecture, country needs for making progress in REDD+ implementation and completion of readiness phase, and the linkages between REDD+ and sustainable development objectives, particularly those objectives that pertain to the transition of rural sectors of National Partners to a </w:t>
            </w:r>
            <w:r w:rsidR="0002252C">
              <w:rPr>
                <w:b w:val="0"/>
                <w:color w:val="auto"/>
              </w:rPr>
              <w:t>Green E</w:t>
            </w:r>
            <w:r w:rsidRPr="00311574">
              <w:rPr>
                <w:b w:val="0"/>
                <w:color w:val="auto"/>
              </w:rPr>
              <w:t xml:space="preserve">conomy. </w:t>
            </w:r>
          </w:p>
          <w:p w:rsidR="00311574" w:rsidRPr="00311574" w:rsidRDefault="006F373A" w:rsidP="006F373A">
            <w:pPr>
              <w:pStyle w:val="ListParagraph"/>
              <w:numPr>
                <w:ilvl w:val="0"/>
                <w:numId w:val="17"/>
              </w:numPr>
              <w:spacing w:line="276" w:lineRule="auto"/>
              <w:rPr>
                <w:b w:val="0"/>
                <w:color w:val="auto"/>
              </w:rPr>
            </w:pPr>
            <w:r>
              <w:rPr>
                <w:b w:val="0"/>
                <w:color w:val="auto"/>
              </w:rPr>
              <w:t>Draft Strategy</w:t>
            </w:r>
          </w:p>
          <w:p w:rsidR="00311574" w:rsidRPr="00311574" w:rsidRDefault="0002252C" w:rsidP="006F373A">
            <w:pPr>
              <w:pStyle w:val="ListParagraph"/>
              <w:numPr>
                <w:ilvl w:val="0"/>
                <w:numId w:val="17"/>
              </w:numPr>
              <w:spacing w:line="276" w:lineRule="auto"/>
              <w:rPr>
                <w:b w:val="0"/>
                <w:color w:val="auto"/>
              </w:rPr>
            </w:pPr>
            <w:r>
              <w:rPr>
                <w:b w:val="0"/>
                <w:color w:val="auto"/>
              </w:rPr>
              <w:t>Endorsed Post-2015 S</w:t>
            </w:r>
            <w:r w:rsidR="00311574" w:rsidRPr="00311574">
              <w:rPr>
                <w:b w:val="0"/>
                <w:color w:val="auto"/>
              </w:rPr>
              <w:t>trategy at PB13 in October 2014.</w:t>
            </w:r>
          </w:p>
          <w:p w:rsidR="00311574" w:rsidRPr="00311574" w:rsidRDefault="00311574" w:rsidP="006F373A">
            <w:pPr>
              <w:spacing w:before="240" w:line="276" w:lineRule="auto"/>
              <w:rPr>
                <w:color w:val="auto"/>
              </w:rPr>
            </w:pPr>
            <w:r>
              <w:rPr>
                <w:color w:val="auto"/>
              </w:rPr>
              <w:t>Indicative Activities</w:t>
            </w:r>
          </w:p>
          <w:p w:rsidR="00311574" w:rsidRPr="006F373A" w:rsidRDefault="00311574" w:rsidP="006F373A">
            <w:pPr>
              <w:rPr>
                <w:b w:val="0"/>
                <w:color w:val="auto"/>
              </w:rPr>
            </w:pPr>
            <w:r w:rsidRPr="006F373A">
              <w:rPr>
                <w:b w:val="0"/>
                <w:color w:val="auto"/>
              </w:rPr>
              <w:t>Overall coordination and technical advice of a robust multi-stakeholder proces</w:t>
            </w:r>
            <w:r w:rsidR="0002252C">
              <w:rPr>
                <w:b w:val="0"/>
                <w:color w:val="auto"/>
              </w:rPr>
              <w:t>s for the preparation of a Post-</w:t>
            </w:r>
            <w:r w:rsidRPr="006F373A">
              <w:rPr>
                <w:b w:val="0"/>
                <w:color w:val="auto"/>
              </w:rPr>
              <w:t xml:space="preserve">2015 Strategy, to include: </w:t>
            </w:r>
          </w:p>
          <w:p w:rsidR="00311574" w:rsidRPr="00311574" w:rsidRDefault="00311574" w:rsidP="006F373A">
            <w:pPr>
              <w:pStyle w:val="ListParagraph"/>
              <w:numPr>
                <w:ilvl w:val="0"/>
                <w:numId w:val="17"/>
              </w:numPr>
              <w:spacing w:line="276" w:lineRule="auto"/>
              <w:rPr>
                <w:b w:val="0"/>
                <w:color w:val="auto"/>
              </w:rPr>
            </w:pPr>
            <w:r w:rsidRPr="00311574">
              <w:rPr>
                <w:b w:val="0"/>
                <w:color w:val="auto"/>
              </w:rPr>
              <w:t xml:space="preserve">Inception meeting to develop a detailed plan for the work </w:t>
            </w:r>
          </w:p>
          <w:p w:rsidR="00311574" w:rsidRPr="00311574" w:rsidRDefault="00311574" w:rsidP="006F373A">
            <w:pPr>
              <w:pStyle w:val="ListParagraph"/>
              <w:numPr>
                <w:ilvl w:val="0"/>
                <w:numId w:val="17"/>
              </w:numPr>
              <w:spacing w:line="276" w:lineRule="auto"/>
              <w:rPr>
                <w:b w:val="0"/>
                <w:color w:val="auto"/>
              </w:rPr>
            </w:pPr>
            <w:r w:rsidRPr="00311574">
              <w:rPr>
                <w:b w:val="0"/>
                <w:color w:val="auto"/>
              </w:rPr>
              <w:t>Initial consultations held with the Policy Board and</w:t>
            </w:r>
            <w:r w:rsidR="0002252C">
              <w:rPr>
                <w:b w:val="0"/>
                <w:color w:val="auto"/>
              </w:rPr>
              <w:t xml:space="preserve"> other stakeholders on the Post-</w:t>
            </w:r>
            <w:r w:rsidRPr="00311574">
              <w:rPr>
                <w:b w:val="0"/>
                <w:color w:val="auto"/>
              </w:rPr>
              <w:t>2015 Strategy.</w:t>
            </w:r>
          </w:p>
          <w:p w:rsidR="00311574" w:rsidRPr="00311574" w:rsidRDefault="00311574" w:rsidP="006F373A">
            <w:pPr>
              <w:pStyle w:val="ListParagraph"/>
              <w:numPr>
                <w:ilvl w:val="0"/>
                <w:numId w:val="17"/>
              </w:numPr>
              <w:spacing w:line="276" w:lineRule="auto"/>
              <w:rPr>
                <w:b w:val="0"/>
                <w:color w:val="auto"/>
              </w:rPr>
            </w:pPr>
            <w:r w:rsidRPr="00311574">
              <w:rPr>
                <w:b w:val="0"/>
                <w:color w:val="auto"/>
              </w:rPr>
              <w:t>Facilitated discussions with the thre</w:t>
            </w:r>
            <w:r w:rsidR="0002252C">
              <w:rPr>
                <w:b w:val="0"/>
                <w:color w:val="auto"/>
              </w:rPr>
              <w:t>e agencies on the proposed Post-</w:t>
            </w:r>
            <w:r w:rsidRPr="00311574">
              <w:rPr>
                <w:b w:val="0"/>
                <w:color w:val="auto"/>
              </w:rPr>
              <w:t>2015 Strategy.</w:t>
            </w:r>
          </w:p>
          <w:p w:rsidR="00311574" w:rsidRPr="00311574" w:rsidRDefault="00311574" w:rsidP="006F373A">
            <w:pPr>
              <w:pStyle w:val="ListParagraph"/>
              <w:numPr>
                <w:ilvl w:val="0"/>
                <w:numId w:val="17"/>
              </w:numPr>
              <w:spacing w:line="276" w:lineRule="auto"/>
              <w:rPr>
                <w:b w:val="0"/>
                <w:color w:val="auto"/>
              </w:rPr>
            </w:pPr>
            <w:r w:rsidRPr="00311574">
              <w:rPr>
                <w:b w:val="0"/>
                <w:color w:val="auto"/>
              </w:rPr>
              <w:t>Additional consultations with PB members and other stakeholders, as needed and appropriate, to prepare for formal consideration at PB13.</w:t>
            </w:r>
          </w:p>
          <w:p w:rsidR="00311574" w:rsidRPr="00311574" w:rsidRDefault="00311574" w:rsidP="006F373A">
            <w:pPr>
              <w:pStyle w:val="ListParagraph"/>
              <w:numPr>
                <w:ilvl w:val="0"/>
                <w:numId w:val="17"/>
              </w:numPr>
              <w:spacing w:line="276" w:lineRule="auto"/>
              <w:rPr>
                <w:b w:val="0"/>
                <w:color w:val="auto"/>
              </w:rPr>
            </w:pPr>
            <w:r w:rsidRPr="00311574">
              <w:rPr>
                <w:b w:val="0"/>
                <w:color w:val="auto"/>
              </w:rPr>
              <w:t xml:space="preserve">Agency Consultations and deliberations that enable the three agencies to fully consider options and come forward with a robust analysis and to iterate with the other members of the Policy Board and other stakeholders to </w:t>
            </w:r>
            <w:r w:rsidR="0002252C">
              <w:rPr>
                <w:b w:val="0"/>
                <w:color w:val="auto"/>
              </w:rPr>
              <w:t>fashion a consensus on the Post-</w:t>
            </w:r>
            <w:r w:rsidRPr="00311574">
              <w:rPr>
                <w:b w:val="0"/>
                <w:color w:val="auto"/>
              </w:rPr>
              <w:t>2015 Strategy.</w:t>
            </w:r>
          </w:p>
          <w:p w:rsidR="00311574" w:rsidRPr="00311574" w:rsidRDefault="00311574" w:rsidP="006F373A">
            <w:pPr>
              <w:pStyle w:val="ListParagraph"/>
              <w:numPr>
                <w:ilvl w:val="0"/>
                <w:numId w:val="17"/>
              </w:numPr>
              <w:spacing w:line="276" w:lineRule="auto"/>
              <w:rPr>
                <w:b w:val="0"/>
                <w:color w:val="auto"/>
              </w:rPr>
            </w:pPr>
            <w:r w:rsidRPr="00311574">
              <w:rPr>
                <w:b w:val="0"/>
                <w:color w:val="auto"/>
              </w:rPr>
              <w:t>Consultation</w:t>
            </w:r>
            <w:r w:rsidR="0002252C">
              <w:rPr>
                <w:b w:val="0"/>
                <w:color w:val="auto"/>
              </w:rPr>
              <w:t>s with stakeholders on the Post-</w:t>
            </w:r>
            <w:r w:rsidRPr="00311574">
              <w:rPr>
                <w:b w:val="0"/>
                <w:color w:val="auto"/>
              </w:rPr>
              <w:t xml:space="preserve">2015 Strategy, including during PB11 and PB12 and in the lead up to PB13, which would include confidential interviews with PB members and other influential stakeholders conducted by a trusted independent consultant, and facilitated workshops to discuss options for the future of the UN-REDD Programme which could include sponsorship of additional participants to enable fully representative discussions and engagement in the process. </w:t>
            </w:r>
          </w:p>
          <w:p w:rsidR="00311574" w:rsidRPr="00311574" w:rsidRDefault="00311574" w:rsidP="006F373A">
            <w:pPr>
              <w:pStyle w:val="ListParagraph"/>
              <w:numPr>
                <w:ilvl w:val="0"/>
                <w:numId w:val="17"/>
              </w:numPr>
              <w:spacing w:line="276" w:lineRule="auto"/>
              <w:rPr>
                <w:b w:val="0"/>
                <w:color w:val="auto"/>
              </w:rPr>
            </w:pPr>
            <w:r w:rsidRPr="00311574">
              <w:rPr>
                <w:b w:val="0"/>
                <w:color w:val="auto"/>
              </w:rPr>
              <w:t>Technical support, through participative workshops and collaborative working sessions with Policy Board members and other stakeholders:</w:t>
            </w:r>
          </w:p>
          <w:p w:rsidR="00311574" w:rsidRPr="00311574" w:rsidRDefault="00311574" w:rsidP="006F373A">
            <w:pPr>
              <w:spacing w:before="240" w:line="276" w:lineRule="auto"/>
              <w:rPr>
                <w:color w:val="auto"/>
              </w:rPr>
            </w:pPr>
            <w:r>
              <w:rPr>
                <w:color w:val="auto"/>
              </w:rPr>
              <w:t>Risks</w:t>
            </w:r>
          </w:p>
          <w:p w:rsidR="00311574" w:rsidRPr="00311574" w:rsidRDefault="00311574" w:rsidP="006F373A">
            <w:pPr>
              <w:pStyle w:val="ListParagraph"/>
              <w:numPr>
                <w:ilvl w:val="0"/>
                <w:numId w:val="17"/>
              </w:numPr>
              <w:spacing w:line="276" w:lineRule="auto"/>
              <w:rPr>
                <w:b w:val="0"/>
                <w:color w:val="auto"/>
              </w:rPr>
            </w:pPr>
            <w:r w:rsidRPr="00311574">
              <w:rPr>
                <w:b w:val="0"/>
                <w:color w:val="auto"/>
              </w:rPr>
              <w:t>Variable engagement and buy in to consultations</w:t>
            </w:r>
          </w:p>
          <w:p w:rsidR="009E71B3" w:rsidRPr="00311574" w:rsidRDefault="00311574" w:rsidP="006F373A">
            <w:pPr>
              <w:pStyle w:val="ListParagraph"/>
              <w:numPr>
                <w:ilvl w:val="0"/>
                <w:numId w:val="17"/>
              </w:numPr>
              <w:spacing w:line="276" w:lineRule="auto"/>
              <w:rPr>
                <w:b w:val="0"/>
                <w:color w:val="auto"/>
              </w:rPr>
            </w:pPr>
            <w:r w:rsidRPr="00311574">
              <w:rPr>
                <w:b w:val="0"/>
                <w:color w:val="auto"/>
              </w:rPr>
              <w:t>Changes in priorities at the national or international level result in difficulties in finalizing Post</w:t>
            </w:r>
            <w:r w:rsidR="006F373A">
              <w:rPr>
                <w:b w:val="0"/>
                <w:color w:val="auto"/>
              </w:rPr>
              <w:t>-</w:t>
            </w:r>
            <w:r w:rsidRPr="00311574">
              <w:rPr>
                <w:b w:val="0"/>
                <w:color w:val="auto"/>
              </w:rPr>
              <w:t>2015 Strategy</w:t>
            </w:r>
            <w:r w:rsidR="009E71B3" w:rsidRPr="00311574">
              <w:rPr>
                <w:b w:val="0"/>
                <w:color w:val="auto"/>
              </w:rPr>
              <w:t>.</w:t>
            </w:r>
          </w:p>
          <w:p w:rsidR="009E71B3" w:rsidRPr="00C448DB" w:rsidRDefault="009E71B3" w:rsidP="009E71B3">
            <w:pPr>
              <w:pStyle w:val="ListParagraph"/>
              <w:spacing w:before="240"/>
              <w:ind w:left="1440"/>
              <w:jc w:val="both"/>
              <w:rPr>
                <w:b w:val="0"/>
                <w:color w:val="000000" w:themeColor="text1"/>
              </w:rPr>
            </w:pPr>
          </w:p>
        </w:tc>
      </w:tr>
    </w:tbl>
    <w:p w:rsidR="0092010E" w:rsidRDefault="0092010E"/>
    <w:p w:rsidR="006F373A" w:rsidRDefault="006F373A"/>
    <w:tbl>
      <w:tblPr>
        <w:tblStyle w:val="MediumGrid3-Accent1"/>
        <w:tblW w:w="0" w:type="auto"/>
        <w:tblLook w:val="04A0" w:firstRow="1" w:lastRow="0" w:firstColumn="1" w:lastColumn="0" w:noHBand="0" w:noVBand="1"/>
      </w:tblPr>
      <w:tblGrid>
        <w:gridCol w:w="9576"/>
      </w:tblGrid>
      <w:tr w:rsidR="0092010E" w:rsidTr="005338DE">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576" w:type="dxa"/>
          </w:tcPr>
          <w:p w:rsidR="0092010E" w:rsidRPr="006F294D" w:rsidRDefault="0092010E" w:rsidP="005338DE">
            <w:pPr>
              <w:rPr>
                <w:sz w:val="24"/>
                <w:szCs w:val="24"/>
              </w:rPr>
            </w:pPr>
            <w:r w:rsidRPr="006F294D">
              <w:rPr>
                <w:sz w:val="24"/>
                <w:szCs w:val="24"/>
              </w:rPr>
              <w:lastRenderedPageBreak/>
              <w:t xml:space="preserve">IV. Management </w:t>
            </w:r>
            <w:r w:rsidR="006F294D" w:rsidRPr="006F294D">
              <w:rPr>
                <w:sz w:val="24"/>
                <w:szCs w:val="24"/>
              </w:rPr>
              <w:t>arrangements and partnerships</w:t>
            </w:r>
          </w:p>
        </w:tc>
      </w:tr>
      <w:tr w:rsidR="0092010E" w:rsidTr="005338D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576" w:type="dxa"/>
            <w:shd w:val="clear" w:color="auto" w:fill="DBE5F1" w:themeFill="accent1" w:themeFillTint="33"/>
          </w:tcPr>
          <w:p w:rsidR="006F373A" w:rsidRDefault="00311574" w:rsidP="000F3FD8">
            <w:pPr>
              <w:spacing w:before="240" w:line="276" w:lineRule="auto"/>
              <w:rPr>
                <w:b w:val="0"/>
                <w:color w:val="auto"/>
              </w:rPr>
            </w:pPr>
            <w:bookmarkStart w:id="0" w:name="_GoBack"/>
            <w:r w:rsidRPr="00311574">
              <w:rPr>
                <w:b w:val="0"/>
                <w:color w:val="auto"/>
              </w:rPr>
              <w:t>The UN-REDD Programme’s participating UN agencies provide clear strategic direction and effective Programme Management through the Strategy Group and the Management Group, with the UN-REDD Programme Secretariat providing effective programmatic coordination, quality assurance, and administrative and logistical.</w:t>
            </w:r>
            <w:r>
              <w:rPr>
                <w:b w:val="0"/>
                <w:color w:val="auto"/>
              </w:rPr>
              <w:t xml:space="preserve"> </w:t>
            </w:r>
          </w:p>
          <w:p w:rsidR="006F373A" w:rsidRDefault="00311574" w:rsidP="000F3FD8">
            <w:pPr>
              <w:spacing w:before="240" w:line="276" w:lineRule="auto"/>
              <w:rPr>
                <w:b w:val="0"/>
                <w:color w:val="auto"/>
              </w:rPr>
            </w:pPr>
            <w:r w:rsidRPr="00311574">
              <w:rPr>
                <w:b w:val="0"/>
                <w:color w:val="auto"/>
              </w:rPr>
              <w:t xml:space="preserve">Informal relationships exist with other actors, including the World Bank, GEF and GCF. </w:t>
            </w:r>
          </w:p>
          <w:p w:rsidR="009E71B3" w:rsidRDefault="00311574" w:rsidP="000F3FD8">
            <w:pPr>
              <w:spacing w:before="240" w:line="276" w:lineRule="auto"/>
              <w:rPr>
                <w:b w:val="0"/>
                <w:color w:val="auto"/>
              </w:rPr>
            </w:pPr>
            <w:r w:rsidRPr="00311574">
              <w:rPr>
                <w:b w:val="0"/>
                <w:color w:val="auto"/>
              </w:rPr>
              <w:t>Within partner countries, the UN-REDD Programme will work through institutions at the national level as designated by the responsible governments.</w:t>
            </w:r>
          </w:p>
          <w:bookmarkEnd w:id="0"/>
          <w:p w:rsidR="00311574" w:rsidRPr="0098675D" w:rsidRDefault="00311574" w:rsidP="00311574">
            <w:pPr>
              <w:spacing w:before="240"/>
              <w:rPr>
                <w:b w:val="0"/>
                <w:color w:val="auto"/>
              </w:rPr>
            </w:pPr>
          </w:p>
        </w:tc>
      </w:tr>
    </w:tbl>
    <w:p w:rsidR="0092010E" w:rsidRDefault="0092010E"/>
    <w:tbl>
      <w:tblPr>
        <w:tblStyle w:val="MediumGrid3-Accent1"/>
        <w:tblW w:w="0" w:type="auto"/>
        <w:tblLook w:val="04A0" w:firstRow="1" w:lastRow="0" w:firstColumn="1" w:lastColumn="0" w:noHBand="0" w:noVBand="1"/>
      </w:tblPr>
      <w:tblGrid>
        <w:gridCol w:w="9576"/>
      </w:tblGrid>
      <w:tr w:rsidR="0092010E" w:rsidTr="005338DE">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576" w:type="dxa"/>
          </w:tcPr>
          <w:p w:rsidR="0092010E" w:rsidRPr="006F294D" w:rsidRDefault="0092010E" w:rsidP="005338DE">
            <w:pPr>
              <w:rPr>
                <w:sz w:val="24"/>
                <w:szCs w:val="24"/>
              </w:rPr>
            </w:pPr>
            <w:r w:rsidRPr="006F294D">
              <w:rPr>
                <w:sz w:val="24"/>
                <w:szCs w:val="24"/>
              </w:rPr>
              <w:t>V. Monitoring and Evaluation</w:t>
            </w:r>
          </w:p>
        </w:tc>
      </w:tr>
      <w:tr w:rsidR="0092010E" w:rsidTr="005338D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576" w:type="dxa"/>
            <w:shd w:val="clear" w:color="auto" w:fill="DBE5F1" w:themeFill="accent1" w:themeFillTint="33"/>
          </w:tcPr>
          <w:p w:rsidR="006F373A" w:rsidRDefault="00311574" w:rsidP="000F3FD8">
            <w:pPr>
              <w:spacing w:before="240" w:line="276" w:lineRule="auto"/>
              <w:rPr>
                <w:b w:val="0"/>
                <w:color w:val="auto"/>
              </w:rPr>
            </w:pPr>
            <w:r w:rsidRPr="00311574">
              <w:rPr>
                <w:b w:val="0"/>
                <w:color w:val="auto"/>
              </w:rPr>
              <w:t>Based on the initi</w:t>
            </w:r>
            <w:r w:rsidR="0002252C">
              <w:rPr>
                <w:b w:val="0"/>
                <w:color w:val="auto"/>
              </w:rPr>
              <w:t xml:space="preserve">al Monitoring Framework in the </w:t>
            </w:r>
            <w:r w:rsidRPr="00311574">
              <w:rPr>
                <w:b w:val="0"/>
                <w:color w:val="auto"/>
              </w:rPr>
              <w:t>Support to National REDD+ Action: Global Programme Framework 2011-2015 (SNA), the UN-REDD Programme has proposed global-scale SMART (specific, measurable, attainable, relevant and time-bound) indicators for success in implementing its work (</w:t>
            </w:r>
            <w:hyperlink r:id="rId11" w:history="1">
              <w:r w:rsidRPr="006F373A">
                <w:rPr>
                  <w:rStyle w:val="Hyperlink"/>
                  <w:b w:val="0"/>
                  <w:bCs w:val="0"/>
                </w:rPr>
                <w:t>UNREDD/PB10/2013/XII/2c</w:t>
              </w:r>
            </w:hyperlink>
            <w:r w:rsidRPr="00311574">
              <w:rPr>
                <w:b w:val="0"/>
                <w:color w:val="auto"/>
              </w:rPr>
              <w:t xml:space="preserve">). </w:t>
            </w:r>
          </w:p>
          <w:p w:rsidR="006F373A" w:rsidRPr="00311574" w:rsidRDefault="006F373A" w:rsidP="000F3FD8">
            <w:pPr>
              <w:spacing w:before="240" w:line="276" w:lineRule="auto"/>
              <w:rPr>
                <w:b w:val="0"/>
                <w:color w:val="auto"/>
              </w:rPr>
            </w:pPr>
            <w:r w:rsidRPr="00311574">
              <w:rPr>
                <w:b w:val="0"/>
                <w:color w:val="auto"/>
              </w:rPr>
              <w:t>This indicator will b</w:t>
            </w:r>
            <w:r>
              <w:rPr>
                <w:b w:val="0"/>
                <w:color w:val="auto"/>
              </w:rPr>
              <w:t>e adopted for the present work:</w:t>
            </w:r>
          </w:p>
          <w:p w:rsidR="00311574" w:rsidRPr="00311574" w:rsidRDefault="00311574" w:rsidP="000F3FD8">
            <w:pPr>
              <w:spacing w:before="240" w:line="276" w:lineRule="auto"/>
              <w:ind w:left="720"/>
              <w:rPr>
                <w:b w:val="0"/>
                <w:color w:val="auto"/>
              </w:rPr>
            </w:pPr>
            <w:r w:rsidRPr="00311574">
              <w:rPr>
                <w:b w:val="0"/>
                <w:color w:val="auto"/>
              </w:rPr>
              <w:t xml:space="preserve">(8.1b) Degree </w:t>
            </w:r>
            <w:r w:rsidR="006F373A">
              <w:rPr>
                <w:b w:val="0"/>
                <w:color w:val="auto"/>
              </w:rPr>
              <w:t>of completion</w:t>
            </w:r>
            <w:r w:rsidRPr="00311574">
              <w:rPr>
                <w:b w:val="0"/>
                <w:color w:val="auto"/>
              </w:rPr>
              <w:t xml:space="preserve">/implementation of review of </w:t>
            </w:r>
            <w:proofErr w:type="spellStart"/>
            <w:r w:rsidRPr="00311574">
              <w:rPr>
                <w:b w:val="0"/>
                <w:color w:val="auto"/>
              </w:rPr>
              <w:t>MoU</w:t>
            </w:r>
            <w:proofErr w:type="spellEnd"/>
            <w:r w:rsidRPr="00311574">
              <w:rPr>
                <w:b w:val="0"/>
                <w:color w:val="auto"/>
              </w:rPr>
              <w:t xml:space="preserve">, Programme Strategy and Secretariat </w:t>
            </w:r>
            <w:proofErr w:type="spellStart"/>
            <w:r w:rsidRPr="00311574">
              <w:rPr>
                <w:b w:val="0"/>
                <w:color w:val="auto"/>
              </w:rPr>
              <w:t>ToR</w:t>
            </w:r>
            <w:proofErr w:type="spellEnd"/>
            <w:r w:rsidRPr="00311574">
              <w:rPr>
                <w:b w:val="0"/>
                <w:color w:val="auto"/>
              </w:rPr>
              <w:t>.</w:t>
            </w:r>
          </w:p>
          <w:p w:rsidR="009E71B3" w:rsidRDefault="00311574" w:rsidP="000F3FD8">
            <w:pPr>
              <w:spacing w:before="240" w:line="276" w:lineRule="auto"/>
              <w:rPr>
                <w:b w:val="0"/>
                <w:color w:val="auto"/>
              </w:rPr>
            </w:pPr>
            <w:r w:rsidRPr="00311574">
              <w:rPr>
                <w:b w:val="0"/>
                <w:color w:val="auto"/>
              </w:rPr>
              <w:t>As per UNDG guidelines for joint programming on resources for monitoring, 5% of the implementation budget has been allocated for monitoring and evaluation costs and is included in the budget of the concept note on “Results Based Management – Managing for Results</w:t>
            </w:r>
            <w:r w:rsidR="006F373A">
              <w:rPr>
                <w:b w:val="0"/>
                <w:color w:val="auto"/>
              </w:rPr>
              <w:t>.</w:t>
            </w:r>
            <w:r w:rsidRPr="00311574">
              <w:rPr>
                <w:b w:val="0"/>
                <w:color w:val="auto"/>
              </w:rPr>
              <w:t>”</w:t>
            </w:r>
          </w:p>
          <w:p w:rsidR="009E71B3" w:rsidRPr="0098675D" w:rsidRDefault="009E71B3" w:rsidP="0098675D">
            <w:pPr>
              <w:spacing w:before="240" w:line="276" w:lineRule="auto"/>
              <w:rPr>
                <w:b w:val="0"/>
                <w:color w:val="auto"/>
              </w:rPr>
            </w:pPr>
          </w:p>
        </w:tc>
      </w:tr>
    </w:tbl>
    <w:p w:rsidR="00E143BE" w:rsidRDefault="00E143BE" w:rsidP="006F373A"/>
    <w:sectPr w:rsidR="00E143BE" w:rsidSect="006F373A">
      <w:footerReference w:type="defaul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6590B" w:rsidRDefault="0036590B" w:rsidP="0036590B">
      <w:pPr>
        <w:spacing w:after="0" w:line="240" w:lineRule="auto"/>
      </w:pPr>
      <w:r>
        <w:separator/>
      </w:r>
    </w:p>
  </w:endnote>
  <w:endnote w:type="continuationSeparator" w:id="0">
    <w:p w:rsidR="0036590B" w:rsidRDefault="0036590B" w:rsidP="0036590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09188767"/>
      <w:docPartObj>
        <w:docPartGallery w:val="Page Numbers (Bottom of Page)"/>
        <w:docPartUnique/>
      </w:docPartObj>
    </w:sdtPr>
    <w:sdtEndPr>
      <w:rPr>
        <w:noProof/>
      </w:rPr>
    </w:sdtEndPr>
    <w:sdtContent>
      <w:p w:rsidR="00393EDE" w:rsidRDefault="00393EDE" w:rsidP="001A291E">
        <w:pPr>
          <w:pStyle w:val="Footer"/>
          <w:jc w:val="right"/>
        </w:pPr>
        <w:r>
          <w:fldChar w:fldCharType="begin"/>
        </w:r>
        <w:r>
          <w:instrText xml:space="preserve"> PAGE   \* MERGEFORMAT </w:instrText>
        </w:r>
        <w:r>
          <w:fldChar w:fldCharType="separate"/>
        </w:r>
        <w:r w:rsidR="000F3FD8">
          <w:rPr>
            <w:noProof/>
          </w:rPr>
          <w:t>1</w:t>
        </w:r>
        <w:r>
          <w:rPr>
            <w:noProof/>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6590B" w:rsidRDefault="0036590B" w:rsidP="0036590B">
      <w:pPr>
        <w:spacing w:after="0" w:line="240" w:lineRule="auto"/>
      </w:pPr>
      <w:r>
        <w:separator/>
      </w:r>
    </w:p>
  </w:footnote>
  <w:footnote w:type="continuationSeparator" w:id="0">
    <w:p w:rsidR="0036590B" w:rsidRDefault="0036590B" w:rsidP="0036590B">
      <w:pPr>
        <w:spacing w:after="0" w:line="240" w:lineRule="auto"/>
      </w:pPr>
      <w:r>
        <w:continuationSeparator/>
      </w:r>
    </w:p>
  </w:footnote>
  <w:footnote w:id="1">
    <w:p w:rsidR="0036590B" w:rsidRPr="000F3FD8" w:rsidRDefault="0036590B">
      <w:pPr>
        <w:pStyle w:val="FootnoteText"/>
        <w:rPr>
          <w:lang w:val="en-US"/>
        </w:rPr>
      </w:pPr>
      <w:r>
        <w:rPr>
          <w:rStyle w:val="FootnoteReference"/>
        </w:rPr>
        <w:footnoteRef/>
      </w:r>
      <w:r>
        <w:t xml:space="preserve"> </w:t>
      </w:r>
      <w:r w:rsidRPr="000F3FD8">
        <w:t>The work areas are: Measurement, Reporting and Verification (MRV); Governance; Stakeholder Engagement; Multiple Benefits and Safeguards; Transparency and Accountability; and, Green Economy.</w:t>
      </w:r>
    </w:p>
  </w:footnote>
  <w:footnote w:id="2">
    <w:p w:rsidR="00714762" w:rsidRPr="000F3FD8" w:rsidRDefault="00714762" w:rsidP="00714762">
      <w:pPr>
        <w:pStyle w:val="FootnoteText"/>
      </w:pPr>
      <w:r w:rsidRPr="000F3FD8">
        <w:rPr>
          <w:rStyle w:val="FootnoteReference"/>
        </w:rPr>
        <w:footnoteRef/>
      </w:r>
      <w:r w:rsidRPr="000F3FD8">
        <w:t xml:space="preserve"> This is a background note rather than a full-fledged</w:t>
      </w:r>
      <w:r w:rsidR="006F373A" w:rsidRPr="000F3FD8">
        <w:t xml:space="preserve"> concept note because</w:t>
      </w:r>
      <w:r w:rsidRPr="000F3FD8">
        <w:t xml:space="preserve"> it refers to </w:t>
      </w:r>
      <w:r w:rsidRPr="000F3FD8">
        <w:rPr>
          <w:color w:val="000000" w:themeColor="text1"/>
        </w:rPr>
        <w:t xml:space="preserve">top-up funding requirements under the </w:t>
      </w:r>
      <w:r w:rsidRPr="000F3FD8">
        <w:rPr>
          <w:rFonts w:cstheme="minorHAnsi"/>
          <w:color w:val="000000" w:themeColor="text1"/>
        </w:rPr>
        <w:t>SNA</w:t>
      </w:r>
      <w:r w:rsidRPr="000F3FD8">
        <w:rPr>
          <w:rFonts w:cstheme="minorHAnsi"/>
          <w:i/>
          <w:color w:val="000000" w:themeColor="text1"/>
        </w:rPr>
        <w:t xml:space="preserve">. </w:t>
      </w:r>
    </w:p>
  </w:footnote>
  <w:footnote w:id="3">
    <w:p w:rsidR="00714762" w:rsidRPr="00D2343F" w:rsidRDefault="00714762" w:rsidP="00714762">
      <w:pPr>
        <w:pStyle w:val="FootnoteText"/>
        <w:rPr>
          <w:sz w:val="18"/>
          <w:szCs w:val="18"/>
        </w:rPr>
      </w:pPr>
      <w:r w:rsidRPr="000F3FD8">
        <w:rPr>
          <w:rStyle w:val="FootnoteReference"/>
        </w:rPr>
        <w:footnoteRef/>
      </w:r>
      <w:r w:rsidRPr="000F3FD8">
        <w:t xml:space="preserve"> The indirect support cost of 7% is included in the budget. </w:t>
      </w:r>
      <w:r w:rsidRPr="000F3FD8">
        <w:rPr>
          <w:color w:val="000000"/>
        </w:rPr>
        <w:t>As per UNDG guidelines</w:t>
      </w:r>
      <w:r w:rsidRPr="000F3FD8">
        <w:rPr>
          <w:color w:val="000000"/>
          <w:lang w:val="en-US"/>
        </w:rPr>
        <w:t xml:space="preserve"> for joint programming on resources for monitoring</w:t>
      </w:r>
      <w:r w:rsidRPr="000F3FD8">
        <w:rPr>
          <w:lang w:val="en-US"/>
        </w:rPr>
        <w:t>,</w:t>
      </w:r>
      <w:r w:rsidRPr="000F3FD8">
        <w:t xml:space="preserve"> </w:t>
      </w:r>
      <w:r w:rsidRPr="000F3FD8">
        <w:rPr>
          <w:color w:val="000000"/>
        </w:rPr>
        <w:t>5% of the budget is allocated for monitoring and evaluation costs and is included in the budget of the concept note on “Results Based Management – Managing for Results.”</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9B1520"/>
    <w:multiLevelType w:val="hybridMultilevel"/>
    <w:tmpl w:val="2CF419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85351BC"/>
    <w:multiLevelType w:val="hybridMultilevel"/>
    <w:tmpl w:val="A91AD3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98714F7"/>
    <w:multiLevelType w:val="hybridMultilevel"/>
    <w:tmpl w:val="1C24FE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39B47A8A"/>
    <w:multiLevelType w:val="hybridMultilevel"/>
    <w:tmpl w:val="AE58F2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3FC94659"/>
    <w:multiLevelType w:val="hybridMultilevel"/>
    <w:tmpl w:val="C6B0C9BC"/>
    <w:lvl w:ilvl="0" w:tplc="04090001">
      <w:start w:val="1"/>
      <w:numFmt w:val="bullet"/>
      <w:lvlText w:val=""/>
      <w:lvlJc w:val="left"/>
      <w:pPr>
        <w:ind w:left="720" w:hanging="360"/>
      </w:pPr>
      <w:rPr>
        <w:rFonts w:ascii="Symbol" w:hAnsi="Symbol" w:hint="default"/>
      </w:rPr>
    </w:lvl>
    <w:lvl w:ilvl="1" w:tplc="6E04FDB4">
      <w:start w:val="1"/>
      <w:numFmt w:val="bullet"/>
      <w:lvlText w:val="o"/>
      <w:lvlJc w:val="left"/>
      <w:pPr>
        <w:ind w:left="1440" w:hanging="360"/>
      </w:pPr>
      <w:rPr>
        <w:rFonts w:ascii="Calibri" w:hAnsi="Calibri" w:hint="default"/>
        <w:b w:val="0"/>
        <w:i w:val="0"/>
        <w:sz w:val="22"/>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46EF6F8F"/>
    <w:multiLevelType w:val="hybridMultilevel"/>
    <w:tmpl w:val="164CB3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4B83180E"/>
    <w:multiLevelType w:val="hybridMultilevel"/>
    <w:tmpl w:val="F56831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50E70359"/>
    <w:multiLevelType w:val="hybridMultilevel"/>
    <w:tmpl w:val="53A66C1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524C6404"/>
    <w:multiLevelType w:val="hybridMultilevel"/>
    <w:tmpl w:val="71765C2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nsid w:val="58D93313"/>
    <w:multiLevelType w:val="hybridMultilevel"/>
    <w:tmpl w:val="40A6AEDC"/>
    <w:lvl w:ilvl="0" w:tplc="E8C44B50">
      <w:start w:val="3"/>
      <w:numFmt w:val="bullet"/>
      <w:lvlText w:val="-"/>
      <w:lvlJc w:val="left"/>
      <w:pPr>
        <w:ind w:left="1080" w:hanging="360"/>
      </w:pPr>
      <w:rPr>
        <w:rFonts w:ascii="Calibri" w:eastAsiaTheme="minorEastAsia" w:hAnsi="Calibri" w:cs="Calibri" w:hint="default"/>
      </w:rPr>
    </w:lvl>
    <w:lvl w:ilvl="1" w:tplc="08090003">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0">
    <w:nsid w:val="5AB77A6D"/>
    <w:multiLevelType w:val="hybridMultilevel"/>
    <w:tmpl w:val="3AD08732"/>
    <w:lvl w:ilvl="0" w:tplc="88489CA6">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5B1043C3"/>
    <w:multiLevelType w:val="hybridMultilevel"/>
    <w:tmpl w:val="868AD0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5B256685"/>
    <w:multiLevelType w:val="hybridMultilevel"/>
    <w:tmpl w:val="233049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5DB0009C"/>
    <w:multiLevelType w:val="hybridMultilevel"/>
    <w:tmpl w:val="26BC49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62C86A92"/>
    <w:multiLevelType w:val="hybridMultilevel"/>
    <w:tmpl w:val="C0B22830"/>
    <w:lvl w:ilvl="0" w:tplc="100C0013">
      <w:start w:val="1"/>
      <w:numFmt w:val="upperRoman"/>
      <w:lvlText w:val="%1."/>
      <w:lvlJc w:val="right"/>
      <w:pPr>
        <w:ind w:left="720" w:hanging="360"/>
      </w:pPr>
    </w:lvl>
    <w:lvl w:ilvl="1" w:tplc="100C0019" w:tentative="1">
      <w:start w:val="1"/>
      <w:numFmt w:val="lowerLetter"/>
      <w:lvlText w:val="%2."/>
      <w:lvlJc w:val="left"/>
      <w:pPr>
        <w:ind w:left="1440" w:hanging="360"/>
      </w:pPr>
    </w:lvl>
    <w:lvl w:ilvl="2" w:tplc="100C001B" w:tentative="1">
      <w:start w:val="1"/>
      <w:numFmt w:val="lowerRoman"/>
      <w:lvlText w:val="%3."/>
      <w:lvlJc w:val="right"/>
      <w:pPr>
        <w:ind w:left="2160" w:hanging="180"/>
      </w:pPr>
    </w:lvl>
    <w:lvl w:ilvl="3" w:tplc="100C000F" w:tentative="1">
      <w:start w:val="1"/>
      <w:numFmt w:val="decimal"/>
      <w:lvlText w:val="%4."/>
      <w:lvlJc w:val="left"/>
      <w:pPr>
        <w:ind w:left="2880" w:hanging="360"/>
      </w:pPr>
    </w:lvl>
    <w:lvl w:ilvl="4" w:tplc="100C0019" w:tentative="1">
      <w:start w:val="1"/>
      <w:numFmt w:val="lowerLetter"/>
      <w:lvlText w:val="%5."/>
      <w:lvlJc w:val="left"/>
      <w:pPr>
        <w:ind w:left="3600" w:hanging="360"/>
      </w:pPr>
    </w:lvl>
    <w:lvl w:ilvl="5" w:tplc="100C001B" w:tentative="1">
      <w:start w:val="1"/>
      <w:numFmt w:val="lowerRoman"/>
      <w:lvlText w:val="%6."/>
      <w:lvlJc w:val="right"/>
      <w:pPr>
        <w:ind w:left="4320" w:hanging="180"/>
      </w:pPr>
    </w:lvl>
    <w:lvl w:ilvl="6" w:tplc="100C000F" w:tentative="1">
      <w:start w:val="1"/>
      <w:numFmt w:val="decimal"/>
      <w:lvlText w:val="%7."/>
      <w:lvlJc w:val="left"/>
      <w:pPr>
        <w:ind w:left="5040" w:hanging="360"/>
      </w:pPr>
    </w:lvl>
    <w:lvl w:ilvl="7" w:tplc="100C0019" w:tentative="1">
      <w:start w:val="1"/>
      <w:numFmt w:val="lowerLetter"/>
      <w:lvlText w:val="%8."/>
      <w:lvlJc w:val="left"/>
      <w:pPr>
        <w:ind w:left="5760" w:hanging="360"/>
      </w:pPr>
    </w:lvl>
    <w:lvl w:ilvl="8" w:tplc="100C001B" w:tentative="1">
      <w:start w:val="1"/>
      <w:numFmt w:val="lowerRoman"/>
      <w:lvlText w:val="%9."/>
      <w:lvlJc w:val="right"/>
      <w:pPr>
        <w:ind w:left="6480" w:hanging="180"/>
      </w:pPr>
    </w:lvl>
  </w:abstractNum>
  <w:abstractNum w:abstractNumId="15">
    <w:nsid w:val="73D923A4"/>
    <w:multiLevelType w:val="hybridMultilevel"/>
    <w:tmpl w:val="0154479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76167C63"/>
    <w:multiLevelType w:val="hybridMultilevel"/>
    <w:tmpl w:val="DBA03BF6"/>
    <w:lvl w:ilvl="0" w:tplc="C204B964">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1"/>
  </w:num>
  <w:num w:numId="2">
    <w:abstractNumId w:val="15"/>
  </w:num>
  <w:num w:numId="3">
    <w:abstractNumId w:val="16"/>
  </w:num>
  <w:num w:numId="4">
    <w:abstractNumId w:val="9"/>
  </w:num>
  <w:num w:numId="5">
    <w:abstractNumId w:val="3"/>
  </w:num>
  <w:num w:numId="6">
    <w:abstractNumId w:val="12"/>
  </w:num>
  <w:num w:numId="7">
    <w:abstractNumId w:val="6"/>
  </w:num>
  <w:num w:numId="8">
    <w:abstractNumId w:val="4"/>
  </w:num>
  <w:num w:numId="9">
    <w:abstractNumId w:val="7"/>
  </w:num>
  <w:num w:numId="10">
    <w:abstractNumId w:val="14"/>
  </w:num>
  <w:num w:numId="11">
    <w:abstractNumId w:val="0"/>
  </w:num>
  <w:num w:numId="12">
    <w:abstractNumId w:val="2"/>
  </w:num>
  <w:num w:numId="13">
    <w:abstractNumId w:val="10"/>
  </w:num>
  <w:num w:numId="14">
    <w:abstractNumId w:val="1"/>
  </w:num>
  <w:num w:numId="15">
    <w:abstractNumId w:val="13"/>
  </w:num>
  <w:num w:numId="16">
    <w:abstractNumId w:val="8"/>
  </w:num>
  <w:num w:numId="1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2010E"/>
    <w:rsid w:val="0002252C"/>
    <w:rsid w:val="000364F5"/>
    <w:rsid w:val="00044332"/>
    <w:rsid w:val="000F3FD8"/>
    <w:rsid w:val="0011651D"/>
    <w:rsid w:val="001A291E"/>
    <w:rsid w:val="001E1ED4"/>
    <w:rsid w:val="00240061"/>
    <w:rsid w:val="00311574"/>
    <w:rsid w:val="003615C6"/>
    <w:rsid w:val="0036590B"/>
    <w:rsid w:val="00393EDE"/>
    <w:rsid w:val="004A3DDE"/>
    <w:rsid w:val="00556F48"/>
    <w:rsid w:val="005A0452"/>
    <w:rsid w:val="006F294D"/>
    <w:rsid w:val="006F373A"/>
    <w:rsid w:val="00712F5B"/>
    <w:rsid w:val="00714762"/>
    <w:rsid w:val="00715198"/>
    <w:rsid w:val="007E2BF7"/>
    <w:rsid w:val="00906FE7"/>
    <w:rsid w:val="00913D59"/>
    <w:rsid w:val="0092010E"/>
    <w:rsid w:val="0098675D"/>
    <w:rsid w:val="00986F65"/>
    <w:rsid w:val="00996F78"/>
    <w:rsid w:val="009E71B3"/>
    <w:rsid w:val="00AA2D68"/>
    <w:rsid w:val="00AA59B9"/>
    <w:rsid w:val="00BD21F8"/>
    <w:rsid w:val="00C241E7"/>
    <w:rsid w:val="00C448DB"/>
    <w:rsid w:val="00E143BE"/>
    <w:rsid w:val="00EB7A93"/>
    <w:rsid w:val="00F13BA6"/>
    <w:rsid w:val="00F15C94"/>
    <w:rsid w:val="00F66E3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2010E"/>
    <w:rPr>
      <w:rFonts w:eastAsiaTheme="minorEastAsia"/>
      <w:lang w:val="en-GB"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92010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MediumGrid3-Accent1">
    <w:name w:val="Medium Grid 3 Accent 1"/>
    <w:basedOn w:val="TableNormal"/>
    <w:uiPriority w:val="69"/>
    <w:rsid w:val="0092010E"/>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paragraph" w:styleId="ListParagraph">
    <w:name w:val="List Paragraph"/>
    <w:basedOn w:val="Normal"/>
    <w:uiPriority w:val="34"/>
    <w:qFormat/>
    <w:rsid w:val="0092010E"/>
    <w:pPr>
      <w:ind w:left="720"/>
      <w:contextualSpacing/>
    </w:pPr>
  </w:style>
  <w:style w:type="paragraph" w:styleId="BalloonText">
    <w:name w:val="Balloon Text"/>
    <w:basedOn w:val="Normal"/>
    <w:link w:val="BalloonTextChar"/>
    <w:uiPriority w:val="99"/>
    <w:semiHidden/>
    <w:unhideWhenUsed/>
    <w:rsid w:val="0092010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2010E"/>
    <w:rPr>
      <w:rFonts w:ascii="Tahoma" w:eastAsiaTheme="minorEastAsia" w:hAnsi="Tahoma" w:cs="Tahoma"/>
      <w:sz w:val="16"/>
      <w:szCs w:val="16"/>
      <w:lang w:val="en-GB" w:eastAsia="en-GB"/>
    </w:rPr>
  </w:style>
  <w:style w:type="character" w:styleId="CommentReference">
    <w:name w:val="annotation reference"/>
    <w:basedOn w:val="DefaultParagraphFont"/>
    <w:uiPriority w:val="99"/>
    <w:semiHidden/>
    <w:unhideWhenUsed/>
    <w:rsid w:val="0092010E"/>
    <w:rPr>
      <w:sz w:val="16"/>
      <w:szCs w:val="16"/>
    </w:rPr>
  </w:style>
  <w:style w:type="paragraph" w:styleId="CommentText">
    <w:name w:val="annotation text"/>
    <w:basedOn w:val="Normal"/>
    <w:link w:val="CommentTextChar"/>
    <w:uiPriority w:val="99"/>
    <w:semiHidden/>
    <w:unhideWhenUsed/>
    <w:rsid w:val="0092010E"/>
    <w:pPr>
      <w:spacing w:line="240" w:lineRule="auto"/>
    </w:pPr>
    <w:rPr>
      <w:sz w:val="20"/>
      <w:szCs w:val="20"/>
    </w:rPr>
  </w:style>
  <w:style w:type="character" w:customStyle="1" w:styleId="CommentTextChar">
    <w:name w:val="Comment Text Char"/>
    <w:basedOn w:val="DefaultParagraphFont"/>
    <w:link w:val="CommentText"/>
    <w:uiPriority w:val="99"/>
    <w:semiHidden/>
    <w:rsid w:val="0092010E"/>
    <w:rPr>
      <w:rFonts w:eastAsiaTheme="minorEastAsia"/>
      <w:sz w:val="20"/>
      <w:szCs w:val="20"/>
      <w:lang w:val="en-GB" w:eastAsia="en-GB"/>
    </w:rPr>
  </w:style>
  <w:style w:type="paragraph" w:styleId="CommentSubject">
    <w:name w:val="annotation subject"/>
    <w:basedOn w:val="CommentText"/>
    <w:next w:val="CommentText"/>
    <w:link w:val="CommentSubjectChar"/>
    <w:uiPriority w:val="99"/>
    <w:semiHidden/>
    <w:unhideWhenUsed/>
    <w:rsid w:val="0092010E"/>
    <w:rPr>
      <w:b/>
      <w:bCs/>
    </w:rPr>
  </w:style>
  <w:style w:type="character" w:customStyle="1" w:styleId="CommentSubjectChar">
    <w:name w:val="Comment Subject Char"/>
    <w:basedOn w:val="CommentTextChar"/>
    <w:link w:val="CommentSubject"/>
    <w:uiPriority w:val="99"/>
    <w:semiHidden/>
    <w:rsid w:val="0092010E"/>
    <w:rPr>
      <w:rFonts w:eastAsiaTheme="minorEastAsia"/>
      <w:b/>
      <w:bCs/>
      <w:sz w:val="20"/>
      <w:szCs w:val="20"/>
      <w:lang w:val="en-GB" w:eastAsia="en-GB"/>
    </w:rPr>
  </w:style>
  <w:style w:type="character" w:styleId="Hyperlink">
    <w:name w:val="Hyperlink"/>
    <w:basedOn w:val="DefaultParagraphFont"/>
    <w:uiPriority w:val="99"/>
    <w:unhideWhenUsed/>
    <w:rsid w:val="0036590B"/>
    <w:rPr>
      <w:color w:val="0000FF" w:themeColor="hyperlink"/>
      <w:u w:val="single"/>
    </w:rPr>
  </w:style>
  <w:style w:type="paragraph" w:styleId="FootnoteText">
    <w:name w:val="footnote text"/>
    <w:basedOn w:val="Normal"/>
    <w:link w:val="FootnoteTextChar"/>
    <w:uiPriority w:val="99"/>
    <w:unhideWhenUsed/>
    <w:rsid w:val="0036590B"/>
    <w:pPr>
      <w:spacing w:after="0" w:line="240" w:lineRule="auto"/>
    </w:pPr>
    <w:rPr>
      <w:sz w:val="20"/>
      <w:szCs w:val="20"/>
    </w:rPr>
  </w:style>
  <w:style w:type="character" w:customStyle="1" w:styleId="FootnoteTextChar">
    <w:name w:val="Footnote Text Char"/>
    <w:basedOn w:val="DefaultParagraphFont"/>
    <w:link w:val="FootnoteText"/>
    <w:uiPriority w:val="99"/>
    <w:rsid w:val="0036590B"/>
    <w:rPr>
      <w:rFonts w:eastAsiaTheme="minorEastAsia"/>
      <w:sz w:val="20"/>
      <w:szCs w:val="20"/>
      <w:lang w:val="en-GB" w:eastAsia="en-GB"/>
    </w:rPr>
  </w:style>
  <w:style w:type="character" w:styleId="FootnoteReference">
    <w:name w:val="footnote reference"/>
    <w:basedOn w:val="DefaultParagraphFont"/>
    <w:uiPriority w:val="99"/>
    <w:unhideWhenUsed/>
    <w:rsid w:val="0036590B"/>
    <w:rPr>
      <w:vertAlign w:val="superscript"/>
    </w:rPr>
  </w:style>
  <w:style w:type="paragraph" w:styleId="Header">
    <w:name w:val="header"/>
    <w:basedOn w:val="Normal"/>
    <w:link w:val="HeaderChar"/>
    <w:uiPriority w:val="99"/>
    <w:unhideWhenUsed/>
    <w:rsid w:val="00393EDE"/>
    <w:pPr>
      <w:tabs>
        <w:tab w:val="center" w:pos="4680"/>
        <w:tab w:val="right" w:pos="9360"/>
      </w:tabs>
      <w:spacing w:after="0" w:line="240" w:lineRule="auto"/>
    </w:pPr>
  </w:style>
  <w:style w:type="character" w:customStyle="1" w:styleId="HeaderChar">
    <w:name w:val="Header Char"/>
    <w:basedOn w:val="DefaultParagraphFont"/>
    <w:link w:val="Header"/>
    <w:uiPriority w:val="99"/>
    <w:rsid w:val="00393EDE"/>
    <w:rPr>
      <w:rFonts w:eastAsiaTheme="minorEastAsia"/>
      <w:lang w:val="en-GB" w:eastAsia="en-GB"/>
    </w:rPr>
  </w:style>
  <w:style w:type="paragraph" w:styleId="Footer">
    <w:name w:val="footer"/>
    <w:basedOn w:val="Normal"/>
    <w:link w:val="FooterChar"/>
    <w:uiPriority w:val="99"/>
    <w:unhideWhenUsed/>
    <w:rsid w:val="00393EDE"/>
    <w:pPr>
      <w:tabs>
        <w:tab w:val="center" w:pos="4680"/>
        <w:tab w:val="right" w:pos="9360"/>
      </w:tabs>
      <w:spacing w:after="0" w:line="240" w:lineRule="auto"/>
    </w:pPr>
  </w:style>
  <w:style w:type="character" w:customStyle="1" w:styleId="FooterChar">
    <w:name w:val="Footer Char"/>
    <w:basedOn w:val="DefaultParagraphFont"/>
    <w:link w:val="Footer"/>
    <w:uiPriority w:val="99"/>
    <w:rsid w:val="00393EDE"/>
    <w:rPr>
      <w:rFonts w:eastAsiaTheme="minorEastAsia"/>
      <w:lang w:val="en-GB" w:eastAsia="en-G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2010E"/>
    <w:rPr>
      <w:rFonts w:eastAsiaTheme="minorEastAsia"/>
      <w:lang w:val="en-GB"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92010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MediumGrid3-Accent1">
    <w:name w:val="Medium Grid 3 Accent 1"/>
    <w:basedOn w:val="TableNormal"/>
    <w:uiPriority w:val="69"/>
    <w:rsid w:val="0092010E"/>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paragraph" w:styleId="ListParagraph">
    <w:name w:val="List Paragraph"/>
    <w:basedOn w:val="Normal"/>
    <w:uiPriority w:val="34"/>
    <w:qFormat/>
    <w:rsid w:val="0092010E"/>
    <w:pPr>
      <w:ind w:left="720"/>
      <w:contextualSpacing/>
    </w:pPr>
  </w:style>
  <w:style w:type="paragraph" w:styleId="BalloonText">
    <w:name w:val="Balloon Text"/>
    <w:basedOn w:val="Normal"/>
    <w:link w:val="BalloonTextChar"/>
    <w:uiPriority w:val="99"/>
    <w:semiHidden/>
    <w:unhideWhenUsed/>
    <w:rsid w:val="0092010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2010E"/>
    <w:rPr>
      <w:rFonts w:ascii="Tahoma" w:eastAsiaTheme="minorEastAsia" w:hAnsi="Tahoma" w:cs="Tahoma"/>
      <w:sz w:val="16"/>
      <w:szCs w:val="16"/>
      <w:lang w:val="en-GB" w:eastAsia="en-GB"/>
    </w:rPr>
  </w:style>
  <w:style w:type="character" w:styleId="CommentReference">
    <w:name w:val="annotation reference"/>
    <w:basedOn w:val="DefaultParagraphFont"/>
    <w:uiPriority w:val="99"/>
    <w:semiHidden/>
    <w:unhideWhenUsed/>
    <w:rsid w:val="0092010E"/>
    <w:rPr>
      <w:sz w:val="16"/>
      <w:szCs w:val="16"/>
    </w:rPr>
  </w:style>
  <w:style w:type="paragraph" w:styleId="CommentText">
    <w:name w:val="annotation text"/>
    <w:basedOn w:val="Normal"/>
    <w:link w:val="CommentTextChar"/>
    <w:uiPriority w:val="99"/>
    <w:semiHidden/>
    <w:unhideWhenUsed/>
    <w:rsid w:val="0092010E"/>
    <w:pPr>
      <w:spacing w:line="240" w:lineRule="auto"/>
    </w:pPr>
    <w:rPr>
      <w:sz w:val="20"/>
      <w:szCs w:val="20"/>
    </w:rPr>
  </w:style>
  <w:style w:type="character" w:customStyle="1" w:styleId="CommentTextChar">
    <w:name w:val="Comment Text Char"/>
    <w:basedOn w:val="DefaultParagraphFont"/>
    <w:link w:val="CommentText"/>
    <w:uiPriority w:val="99"/>
    <w:semiHidden/>
    <w:rsid w:val="0092010E"/>
    <w:rPr>
      <w:rFonts w:eastAsiaTheme="minorEastAsia"/>
      <w:sz w:val="20"/>
      <w:szCs w:val="20"/>
      <w:lang w:val="en-GB" w:eastAsia="en-GB"/>
    </w:rPr>
  </w:style>
  <w:style w:type="paragraph" w:styleId="CommentSubject">
    <w:name w:val="annotation subject"/>
    <w:basedOn w:val="CommentText"/>
    <w:next w:val="CommentText"/>
    <w:link w:val="CommentSubjectChar"/>
    <w:uiPriority w:val="99"/>
    <w:semiHidden/>
    <w:unhideWhenUsed/>
    <w:rsid w:val="0092010E"/>
    <w:rPr>
      <w:b/>
      <w:bCs/>
    </w:rPr>
  </w:style>
  <w:style w:type="character" w:customStyle="1" w:styleId="CommentSubjectChar">
    <w:name w:val="Comment Subject Char"/>
    <w:basedOn w:val="CommentTextChar"/>
    <w:link w:val="CommentSubject"/>
    <w:uiPriority w:val="99"/>
    <w:semiHidden/>
    <w:rsid w:val="0092010E"/>
    <w:rPr>
      <w:rFonts w:eastAsiaTheme="minorEastAsia"/>
      <w:b/>
      <w:bCs/>
      <w:sz w:val="20"/>
      <w:szCs w:val="20"/>
      <w:lang w:val="en-GB" w:eastAsia="en-GB"/>
    </w:rPr>
  </w:style>
  <w:style w:type="character" w:styleId="Hyperlink">
    <w:name w:val="Hyperlink"/>
    <w:basedOn w:val="DefaultParagraphFont"/>
    <w:uiPriority w:val="99"/>
    <w:unhideWhenUsed/>
    <w:rsid w:val="0036590B"/>
    <w:rPr>
      <w:color w:val="0000FF" w:themeColor="hyperlink"/>
      <w:u w:val="single"/>
    </w:rPr>
  </w:style>
  <w:style w:type="paragraph" w:styleId="FootnoteText">
    <w:name w:val="footnote text"/>
    <w:basedOn w:val="Normal"/>
    <w:link w:val="FootnoteTextChar"/>
    <w:uiPriority w:val="99"/>
    <w:unhideWhenUsed/>
    <w:rsid w:val="0036590B"/>
    <w:pPr>
      <w:spacing w:after="0" w:line="240" w:lineRule="auto"/>
    </w:pPr>
    <w:rPr>
      <w:sz w:val="20"/>
      <w:szCs w:val="20"/>
    </w:rPr>
  </w:style>
  <w:style w:type="character" w:customStyle="1" w:styleId="FootnoteTextChar">
    <w:name w:val="Footnote Text Char"/>
    <w:basedOn w:val="DefaultParagraphFont"/>
    <w:link w:val="FootnoteText"/>
    <w:uiPriority w:val="99"/>
    <w:rsid w:val="0036590B"/>
    <w:rPr>
      <w:rFonts w:eastAsiaTheme="minorEastAsia"/>
      <w:sz w:val="20"/>
      <w:szCs w:val="20"/>
      <w:lang w:val="en-GB" w:eastAsia="en-GB"/>
    </w:rPr>
  </w:style>
  <w:style w:type="character" w:styleId="FootnoteReference">
    <w:name w:val="footnote reference"/>
    <w:basedOn w:val="DefaultParagraphFont"/>
    <w:uiPriority w:val="99"/>
    <w:unhideWhenUsed/>
    <w:rsid w:val="0036590B"/>
    <w:rPr>
      <w:vertAlign w:val="superscript"/>
    </w:rPr>
  </w:style>
  <w:style w:type="paragraph" w:styleId="Header">
    <w:name w:val="header"/>
    <w:basedOn w:val="Normal"/>
    <w:link w:val="HeaderChar"/>
    <w:uiPriority w:val="99"/>
    <w:unhideWhenUsed/>
    <w:rsid w:val="00393EDE"/>
    <w:pPr>
      <w:tabs>
        <w:tab w:val="center" w:pos="4680"/>
        <w:tab w:val="right" w:pos="9360"/>
      </w:tabs>
      <w:spacing w:after="0" w:line="240" w:lineRule="auto"/>
    </w:pPr>
  </w:style>
  <w:style w:type="character" w:customStyle="1" w:styleId="HeaderChar">
    <w:name w:val="Header Char"/>
    <w:basedOn w:val="DefaultParagraphFont"/>
    <w:link w:val="Header"/>
    <w:uiPriority w:val="99"/>
    <w:rsid w:val="00393EDE"/>
    <w:rPr>
      <w:rFonts w:eastAsiaTheme="minorEastAsia"/>
      <w:lang w:val="en-GB" w:eastAsia="en-GB"/>
    </w:rPr>
  </w:style>
  <w:style w:type="paragraph" w:styleId="Footer">
    <w:name w:val="footer"/>
    <w:basedOn w:val="Normal"/>
    <w:link w:val="FooterChar"/>
    <w:uiPriority w:val="99"/>
    <w:unhideWhenUsed/>
    <w:rsid w:val="00393EDE"/>
    <w:pPr>
      <w:tabs>
        <w:tab w:val="center" w:pos="4680"/>
        <w:tab w:val="right" w:pos="9360"/>
      </w:tabs>
      <w:spacing w:after="0" w:line="240" w:lineRule="auto"/>
    </w:pPr>
  </w:style>
  <w:style w:type="character" w:customStyle="1" w:styleId="FooterChar">
    <w:name w:val="Footer Char"/>
    <w:basedOn w:val="DefaultParagraphFont"/>
    <w:link w:val="Footer"/>
    <w:uiPriority w:val="99"/>
    <w:rsid w:val="00393EDE"/>
    <w:rPr>
      <w:rFonts w:eastAsiaTheme="minorEastAsia"/>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unredd.net/index.php?option=com_docman&amp;task=doc_download&amp;gid=10468&amp;Itemid=53" TargetMode="External"/><Relationship Id="rId5" Type="http://schemas.openxmlformats.org/officeDocument/2006/relationships/settings" Target="settings.xml"/><Relationship Id="rId10" Type="http://schemas.openxmlformats.org/officeDocument/2006/relationships/hyperlink" Target="http://www.unredd.net/index.php?option=com_docman&amp;task=doc_download&amp;gid=4598&amp;Itemid=53" TargetMode="Externa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0482B12-5599-4F9E-85B0-F0923330AE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4</Pages>
  <Words>1042</Words>
  <Characters>5940</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UNDP</Company>
  <LinksUpToDate>false</LinksUpToDate>
  <CharactersWithSpaces>6969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Windows User</cp:lastModifiedBy>
  <cp:revision>3</cp:revision>
  <dcterms:created xsi:type="dcterms:W3CDTF">2013-10-24T08:06:00Z</dcterms:created>
  <dcterms:modified xsi:type="dcterms:W3CDTF">2013-10-25T19:55:00Z</dcterms:modified>
</cp:coreProperties>
</file>