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jc w:val="center"/>
        <w:tblInd w:w="-735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3"/>
        <w:gridCol w:w="975"/>
        <w:gridCol w:w="2344"/>
        <w:gridCol w:w="2127"/>
        <w:gridCol w:w="3412"/>
      </w:tblGrid>
      <w:tr w:rsidR="009A5041" w:rsidRPr="00BC510F" w:rsidTr="00943311">
        <w:trPr>
          <w:trHeight w:val="1125"/>
          <w:jc w:val="center"/>
        </w:trPr>
        <w:tc>
          <w:tcPr>
            <w:tcW w:w="73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A36111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A36111">
              <w:rPr>
                <w:rFonts w:ascii="Times New Roman" w:hAnsi="Times New Roman"/>
                <w:bCs/>
                <w:sz w:val="21"/>
                <w:szCs w:val="21"/>
              </w:rPr>
              <w:t>13 March 2013</w:t>
            </w:r>
          </w:p>
        </w:tc>
        <w:tc>
          <w:tcPr>
            <w:tcW w:w="34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  <w:lang w:val="en-GB" w:eastAsia="ja-JP"/>
              </w:rPr>
              <w:drawing>
                <wp:inline distT="0" distB="0" distL="0" distR="0" wp14:anchorId="3E3CDFE8" wp14:editId="4066A9AA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048" w:rsidRPr="00BC510F" w:rsidTr="00943311">
        <w:trPr>
          <w:cantSplit/>
          <w:trHeight w:hRule="exact" w:val="936"/>
          <w:jc w:val="center"/>
        </w:trPr>
        <w:tc>
          <w:tcPr>
            <w:tcW w:w="7359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0048" w:rsidRPr="00CB5DF8" w:rsidRDefault="00170048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CB5DF8">
              <w:rPr>
                <w:sz w:val="21"/>
                <w:szCs w:val="21"/>
              </w:rPr>
              <w:t>Name</w:t>
            </w:r>
          </w:p>
          <w:p w:rsidR="00170048" w:rsidRPr="00CB5DF8" w:rsidRDefault="00170048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sz w:val="21"/>
                <w:szCs w:val="21"/>
              </w:rPr>
              <w:t>Aki Kono, UN-REDD</w:t>
            </w:r>
            <w:r w:rsidR="00924903" w:rsidRPr="00CB5DF8">
              <w:rPr>
                <w:rFonts w:ascii="Times New Roman" w:hAnsi="Times New Roman"/>
                <w:sz w:val="21"/>
                <w:szCs w:val="21"/>
              </w:rPr>
              <w:t>/UNDP</w:t>
            </w:r>
            <w:r w:rsidRPr="00CB5DF8">
              <w:rPr>
                <w:rFonts w:ascii="Times New Roman" w:hAnsi="Times New Roman"/>
                <w:sz w:val="21"/>
                <w:szCs w:val="21"/>
              </w:rPr>
              <w:t>/GEF EBD</w:t>
            </w:r>
          </w:p>
          <w:p w:rsidR="00170048" w:rsidRPr="00CB5DF8" w:rsidRDefault="00881875" w:rsidP="0088187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sz w:val="21"/>
                <w:szCs w:val="21"/>
              </w:rPr>
              <w:t>With Lucy Emerton, Consultant</w:t>
            </w:r>
          </w:p>
        </w:tc>
        <w:tc>
          <w:tcPr>
            <w:tcW w:w="341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0048" w:rsidRPr="00CB5DF8" w:rsidRDefault="00170048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943311">
        <w:trPr>
          <w:trHeight w:val="450"/>
          <w:jc w:val="center"/>
        </w:trPr>
        <w:tc>
          <w:tcPr>
            <w:tcW w:w="2888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CB5DF8" w:rsidRDefault="005C634E" w:rsidP="00CA02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5DF8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CB5DF8" w:rsidRDefault="001E38B4" w:rsidP="001E38B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Bangkok/</w:t>
            </w:r>
            <w:r w:rsidR="00881875" w:rsidRPr="00CB5DF8">
              <w:rPr>
                <w:rFonts w:ascii="Times New Roman" w:hAnsi="Times New Roman"/>
                <w:bCs/>
                <w:sz w:val="21"/>
                <w:szCs w:val="21"/>
              </w:rPr>
              <w:t>Ulaanbaatar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r w:rsidR="0006351A" w:rsidRPr="00CB5DF8">
              <w:rPr>
                <w:rFonts w:ascii="Times New Roman" w:hAnsi="Times New Roman"/>
                <w:bCs/>
                <w:sz w:val="21"/>
                <w:szCs w:val="21"/>
              </w:rPr>
              <w:t xml:space="preserve">Bangkok </w:t>
            </w:r>
          </w:p>
        </w:tc>
        <w:tc>
          <w:tcPr>
            <w:tcW w:w="7883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CB5DF8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CB5DF8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C34B82" w:rsidRDefault="00CC2C41" w:rsidP="00C34B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943311">
        <w:trPr>
          <w:trHeight w:hRule="exact" w:val="303"/>
          <w:jc w:val="center"/>
        </w:trPr>
        <w:tc>
          <w:tcPr>
            <w:tcW w:w="2888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CB5DF8" w:rsidRDefault="005C634E" w:rsidP="00CA0271">
            <w:pPr>
              <w:pStyle w:val="Heading4"/>
              <w:spacing w:after="0"/>
              <w:jc w:val="left"/>
              <w:rPr>
                <w:sz w:val="21"/>
                <w:szCs w:val="21"/>
              </w:rPr>
            </w:pPr>
            <w:r w:rsidRPr="00CB5DF8">
              <w:rPr>
                <w:sz w:val="21"/>
                <w:szCs w:val="21"/>
              </w:rPr>
              <w:t>Inclusive Travel Dates</w:t>
            </w:r>
            <w:r w:rsidR="00FD44C5" w:rsidRPr="00CB5DF8">
              <w:rPr>
                <w:sz w:val="21"/>
                <w:szCs w:val="21"/>
              </w:rPr>
              <w:t>:</w:t>
            </w:r>
          </w:p>
        </w:tc>
        <w:tc>
          <w:tcPr>
            <w:tcW w:w="7883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CB5DF8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>Key counterpart(s) in each location:</w:t>
            </w:r>
          </w:p>
          <w:p w:rsidR="00CF3B35" w:rsidRPr="00CB5DF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B5DF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B5DF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B5DF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CC09A4" w:rsidRPr="00BC510F" w:rsidTr="00943311">
        <w:trPr>
          <w:trHeight w:val="558"/>
          <w:jc w:val="center"/>
        </w:trPr>
        <w:tc>
          <w:tcPr>
            <w:tcW w:w="1913" w:type="dxa"/>
            <w:tcBorders>
              <w:left w:val="double" w:sz="6" w:space="0" w:color="auto"/>
            </w:tcBorders>
          </w:tcPr>
          <w:p w:rsidR="00CC09A4" w:rsidRPr="00CB5DF8" w:rsidRDefault="00881875" w:rsidP="00CA0271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sz w:val="21"/>
                <w:szCs w:val="21"/>
              </w:rPr>
              <w:t>17</w:t>
            </w:r>
            <w:r w:rsidR="00924903" w:rsidRPr="00CB5D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B5DF8">
              <w:rPr>
                <w:rFonts w:ascii="Times New Roman" w:hAnsi="Times New Roman"/>
                <w:sz w:val="21"/>
                <w:szCs w:val="21"/>
              </w:rPr>
              <w:t>– 24 April</w:t>
            </w:r>
            <w:r w:rsidR="00924903" w:rsidRPr="00CB5DF8">
              <w:rPr>
                <w:rFonts w:ascii="Times New Roman" w:hAnsi="Times New Roman"/>
                <w:sz w:val="21"/>
                <w:szCs w:val="21"/>
              </w:rPr>
              <w:t xml:space="preserve"> 2013</w:t>
            </w:r>
          </w:p>
          <w:p w:rsidR="00035882" w:rsidRPr="00CB5DF8" w:rsidRDefault="00924903" w:rsidP="00881875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sz w:val="21"/>
                <w:szCs w:val="21"/>
              </w:rPr>
              <w:t>(excluding travel)</w:t>
            </w:r>
          </w:p>
        </w:tc>
        <w:tc>
          <w:tcPr>
            <w:tcW w:w="975" w:type="dxa"/>
          </w:tcPr>
          <w:p w:rsidR="00CC09A4" w:rsidRPr="00CB5DF8" w:rsidRDefault="008E4AAA" w:rsidP="00CA0271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  <w:r w:rsidRPr="00CB5DF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CB5DF8" w:rsidRDefault="00035882" w:rsidP="00CA0271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83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CF3B35" w:rsidRPr="00CB5DF8" w:rsidRDefault="00CF3B35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Location: </w:t>
            </w:r>
            <w:r w:rsidR="00881875"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Ulaanbaatar, Mongolia </w:t>
            </w:r>
            <w:r w:rsidR="00545BA8"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 </w:t>
            </w:r>
          </w:p>
          <w:p w:rsidR="00881875" w:rsidRPr="00CB5DF8" w:rsidRDefault="00881875" w:rsidP="008818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UN Organizations</w:t>
            </w:r>
          </w:p>
          <w:p w:rsidR="00CB5DF8" w:rsidRPr="00CB5DF8" w:rsidRDefault="00CB5DF8" w:rsidP="008E4AAA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Sezin Sinanoglu, UN Resident Coordinator, Mongolia </w:t>
            </w:r>
          </w:p>
          <w:p w:rsidR="00881875" w:rsidRPr="00CB5DF8" w:rsidRDefault="00881875" w:rsidP="008E4AAA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Thomas </w:t>
            </w:r>
            <w:r w:rsidR="008E4AAA"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Eriksson, UNDP DRR, Mongolia </w:t>
            </w:r>
          </w:p>
          <w:p w:rsidR="00881875" w:rsidRPr="00CB5DF8" w:rsidRDefault="00881875" w:rsidP="00CB5DF8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right="-531"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Bunchingiv Bazartseren, UNDP CO Environment Team Leader</w:t>
            </w:r>
          </w:p>
          <w:p w:rsidR="00881875" w:rsidRPr="00CB5DF8" w:rsidRDefault="00881875" w:rsidP="00881875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Razi</w:t>
            </w:r>
            <w:r w:rsidR="008E4AAA"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 Latif, UNEP PEI Regional Advisor </w:t>
            </w:r>
          </w:p>
          <w:p w:rsidR="008E4AAA" w:rsidRPr="00CB5DF8" w:rsidRDefault="008E4AAA" w:rsidP="00881875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Asad Naqvi, UNEP, Economic Affairs Officer</w:t>
            </w:r>
          </w:p>
          <w:p w:rsidR="00881875" w:rsidRPr="00CB5DF8" w:rsidRDefault="00881875" w:rsidP="008818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</w:p>
          <w:p w:rsidR="00881875" w:rsidRPr="00CB5DF8" w:rsidRDefault="00881875" w:rsidP="008818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Key Government Officials met during the mission:  </w:t>
            </w:r>
          </w:p>
          <w:p w:rsidR="00881875" w:rsidRPr="00CB5DF8" w:rsidRDefault="00881875" w:rsidP="00881875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Mr. Jamsran Batbold, State Secretary of MoEGD (Political FP of UN-REDD)</w:t>
            </w:r>
          </w:p>
          <w:p w:rsidR="00881875" w:rsidRPr="00CB5DF8" w:rsidRDefault="00881875" w:rsidP="00881875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Mr. Tsesed Banzaragch, Director, Division of Forest Conservation and Reforestation Management, MoEGD (Operational FP of UN-REDD)</w:t>
            </w:r>
            <w:r w:rsidR="00CB5DF8"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 </w:t>
            </w:r>
          </w:p>
          <w:p w:rsidR="000128CC" w:rsidRPr="00CB5DF8" w:rsidRDefault="00CB5DF8" w:rsidP="00881875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>Other national and development partners, including the</w:t>
            </w:r>
            <w:r w:rsidR="00F012C3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 CDM National Bureau (MEGD),</w:t>
            </w: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 M</w:t>
            </w:r>
            <w:r w:rsidR="00F012C3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inistry of Economic Development, Mongolian Academy of Science </w:t>
            </w:r>
            <w:r w:rsidRPr="00CB5DF8">
              <w:rPr>
                <w:rFonts w:ascii="Times New Roman" w:hAnsi="Times New Roman"/>
                <w:bCs/>
                <w:sz w:val="21"/>
                <w:szCs w:val="21"/>
                <w:lang w:val="en-GB"/>
              </w:rPr>
              <w:t xml:space="preserve">and FAO. </w:t>
            </w:r>
          </w:p>
        </w:tc>
      </w:tr>
      <w:tr w:rsidR="00CC09A4" w:rsidRPr="00BC510F" w:rsidTr="00943311">
        <w:trPr>
          <w:trHeight w:val="750"/>
          <w:jc w:val="center"/>
        </w:trPr>
        <w:tc>
          <w:tcPr>
            <w:tcW w:w="10771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AB4385" w:rsidRPr="00AB4385" w:rsidRDefault="00AB4385" w:rsidP="00AB4385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This mission is to organize a validation workshop for the findings from the current work in understanding the economic value of land-use sectors and related public financing flows, and to discuss with REDD+ stakeholders based on the findings to identify policy-level goals for the forest sector in the context of national development. </w:t>
            </w:r>
          </w:p>
          <w:p w:rsidR="00AB4385" w:rsidRPr="00AB4385" w:rsidRDefault="00AB4385" w:rsidP="00AB4385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545BA8" w:rsidRPr="00545BA8" w:rsidRDefault="00AB4385" w:rsidP="00AB4385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>The secondary objective is to handle to the Roadmap finalization process.</w:t>
            </w:r>
          </w:p>
        </w:tc>
      </w:tr>
      <w:tr w:rsidR="00CC09A4" w:rsidRPr="00C1798E" w:rsidTr="00943311">
        <w:trPr>
          <w:trHeight w:val="899"/>
          <w:jc w:val="center"/>
        </w:trPr>
        <w:tc>
          <w:tcPr>
            <w:tcW w:w="1077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Default="001559EB" w:rsidP="00545BA8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333AFF" w:rsidRDefault="00AB4385" w:rsidP="00AB438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Mongolia </w:t>
            </w:r>
            <w:r w:rsidR="00C03617">
              <w:rPr>
                <w:rFonts w:ascii="Times New Roman" w:hAnsi="Times New Roman"/>
                <w:bCs/>
                <w:sz w:val="21"/>
                <w:szCs w:val="21"/>
              </w:rPr>
              <w:t>became</w:t>
            </w: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 a member of the UN-REDD Programme in June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>,</w:t>
            </w: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 2011.  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>Since then, the country</w:t>
            </w:r>
            <w:r w:rsidR="00333AFF" w:rsidRPr="00333AFF">
              <w:rPr>
                <w:rFonts w:ascii="Times New Roman" w:hAnsi="Times New Roman"/>
                <w:bCs/>
                <w:sz w:val="21"/>
                <w:szCs w:val="21"/>
              </w:rPr>
              <w:t xml:space="preserve"> has made REDD+ Readiness a national priority, as indicated in Mongolia's proposed nationally appropriate mitigation actions (NAMAs) and Second National Communication to the UNFCCC. On this basis, the UN-REDD Programme is assisting Mongolia to prepare its National REDD+ Readiness Roadmap, which will set out the detailed activities that the country will implement to prepare for full national REDD+ implementation. An advanced draft of the Roadmap document was developed between 2011 and 2012 by UNDP and FAO. This draft now requires revision and editing work to produce the final version.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 xml:space="preserve">  In order to initiate the implementation of the Roadmap,  </w:t>
            </w:r>
            <w:r w:rsidRPr="00AB4385">
              <w:rPr>
                <w:rFonts w:ascii="Times New Roman" w:hAnsi="Times New Roman"/>
                <w:bCs/>
                <w:sz w:val="21"/>
                <w:szCs w:val="21"/>
              </w:rPr>
              <w:t>t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>he government has requested UNDP/UN-REDD to provide Targeted Support to help secure the forest sector financing and basic operational capacity at the institutional level through the following three steps:</w:t>
            </w:r>
          </w:p>
          <w:p w:rsidR="00333AFF" w:rsidRPr="00AB4385" w:rsidRDefault="00333AFF" w:rsidP="00AB438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AB4385" w:rsidRPr="00CB5DF8" w:rsidRDefault="00AB4385" w:rsidP="00CB5DF8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</w:rPr>
              <w:t>Understanding the economic value of land-use sectors and related public financing flows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AB4385" w:rsidRPr="00CB5DF8" w:rsidRDefault="00AB4385" w:rsidP="00CB5DF8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</w:rPr>
              <w:t>Assessment of entry points and strategic options to support forest sector financing and policy implementation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 xml:space="preserve">; and </w:t>
            </w:r>
          </w:p>
          <w:p w:rsidR="00AB4385" w:rsidRDefault="00AB4385" w:rsidP="00CB5DF8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CB5DF8">
              <w:rPr>
                <w:rFonts w:ascii="Times New Roman" w:hAnsi="Times New Roman"/>
                <w:bCs/>
                <w:sz w:val="21"/>
                <w:szCs w:val="21"/>
              </w:rPr>
              <w:t>Development of strategies to: i) strengthen policy implementation; and ii) mak</w:t>
            </w:r>
            <w:r w:rsidR="00333AFF">
              <w:rPr>
                <w:rFonts w:ascii="Times New Roman" w:hAnsi="Times New Roman"/>
                <w:bCs/>
                <w:sz w:val="21"/>
                <w:szCs w:val="21"/>
              </w:rPr>
              <w:t xml:space="preserve">e the forest sector a priority. </w:t>
            </w:r>
          </w:p>
          <w:p w:rsidR="00333AFF" w:rsidRDefault="00333AFF" w:rsidP="00333AFF">
            <w:pPr>
              <w:pStyle w:val="ListParagraph"/>
              <w:ind w:left="360"/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333AFF" w:rsidRPr="00333AFF" w:rsidRDefault="0032467E" w:rsidP="00333AFF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This is to ensure strong national ownership and effective capacity absorption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 xml:space="preserve"> during the Readiness phase. </w:t>
            </w:r>
          </w:p>
          <w:p w:rsidR="00AB4385" w:rsidRPr="00AB4385" w:rsidRDefault="00AB4385" w:rsidP="00AB438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AB4385" w:rsidRDefault="00333AFF" w:rsidP="00AB438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The work under the first step</w:t>
            </w:r>
            <w:r w:rsidR="00AB4385"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B5DF8">
              <w:rPr>
                <w:rFonts w:ascii="Times New Roman" w:hAnsi="Times New Roman"/>
                <w:bCs/>
                <w:sz w:val="21"/>
                <w:szCs w:val="21"/>
              </w:rPr>
              <w:t>is currently being finalized.   This mission was to organize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</w:t>
            </w:r>
            <w:r w:rsidR="00CB5DF8">
              <w:rPr>
                <w:rFonts w:ascii="Times New Roman" w:hAnsi="Times New Roman"/>
                <w:bCs/>
                <w:sz w:val="21"/>
                <w:szCs w:val="21"/>
              </w:rPr>
              <w:t xml:space="preserve"> validation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workshop </w:t>
            </w:r>
            <w:r w:rsidR="005C69AA">
              <w:rPr>
                <w:rFonts w:ascii="Times New Roman" w:hAnsi="Times New Roman"/>
                <w:bCs/>
                <w:sz w:val="21"/>
                <w:szCs w:val="21"/>
              </w:rPr>
              <w:t xml:space="preserve">on </w:t>
            </w:r>
            <w:r w:rsidR="00CB5DF8">
              <w:rPr>
                <w:rFonts w:ascii="Times New Roman" w:hAnsi="Times New Roman"/>
                <w:bCs/>
                <w:sz w:val="21"/>
                <w:szCs w:val="21"/>
              </w:rPr>
              <w:t xml:space="preserve">the study findings and to set a stage for the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next step</w:t>
            </w:r>
            <w:r w:rsidR="005C69AA">
              <w:rPr>
                <w:rFonts w:ascii="Times New Roman" w:hAnsi="Times New Roman"/>
                <w:bCs/>
                <w:sz w:val="21"/>
                <w:szCs w:val="21"/>
              </w:rPr>
              <w:t xml:space="preserve"> in this TS</w:t>
            </w:r>
            <w:r w:rsidR="00CB5DF8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AB4385" w:rsidRPr="00AB438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B5DF8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F012C3">
              <w:rPr>
                <w:rFonts w:ascii="Times New Roman" w:hAnsi="Times New Roman"/>
                <w:bCs/>
                <w:sz w:val="21"/>
                <w:szCs w:val="21"/>
              </w:rPr>
              <w:t xml:space="preserve"> This mission was conducted with Lucy Emerton,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 xml:space="preserve"> environmental economist, </w:t>
            </w:r>
            <w:bookmarkStart w:id="0" w:name="_GoBack"/>
            <w:r w:rsidR="00996F08">
              <w:rPr>
                <w:rFonts w:ascii="Times New Roman" w:hAnsi="Times New Roman"/>
                <w:bCs/>
                <w:sz w:val="21"/>
                <w:szCs w:val="21"/>
              </w:rPr>
              <w:t>who has been</w:t>
            </w:r>
            <w:r w:rsidR="00F012C3">
              <w:rPr>
                <w:rFonts w:ascii="Times New Roman" w:hAnsi="Times New Roman"/>
                <w:bCs/>
                <w:sz w:val="21"/>
                <w:szCs w:val="21"/>
              </w:rPr>
              <w:t xml:space="preserve"> engage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>d</w:t>
            </w:r>
            <w:r w:rsidR="005C69AA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>to help with</w:t>
            </w:r>
            <w:r w:rsidR="008E1FDB">
              <w:rPr>
                <w:rFonts w:ascii="Times New Roman" w:hAnsi="Times New Roman"/>
                <w:bCs/>
                <w:sz w:val="21"/>
                <w:szCs w:val="21"/>
              </w:rPr>
              <w:t xml:space="preserve"> technical activities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C69AA">
              <w:rPr>
                <w:rFonts w:ascii="Times New Roman" w:hAnsi="Times New Roman"/>
                <w:bCs/>
                <w:sz w:val="21"/>
                <w:szCs w:val="21"/>
              </w:rPr>
              <w:t xml:space="preserve">in </w:t>
            </w:r>
            <w:r w:rsidR="00996F08">
              <w:rPr>
                <w:rFonts w:ascii="Times New Roman" w:hAnsi="Times New Roman"/>
                <w:bCs/>
                <w:sz w:val="21"/>
                <w:szCs w:val="21"/>
              </w:rPr>
              <w:t xml:space="preserve">the first two steps of the work. </w:t>
            </w:r>
          </w:p>
          <w:bookmarkEnd w:id="0"/>
          <w:p w:rsidR="00996F08" w:rsidRDefault="00996F08" w:rsidP="008131B7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1E38B4" w:rsidRDefault="001E38B4" w:rsidP="001E38B4">
            <w:pPr>
              <w:tabs>
                <w:tab w:val="left" w:pos="2812"/>
              </w:tabs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The key activities delivers and items discussed during this mission were</w:t>
            </w:r>
          </w:p>
          <w:p w:rsidR="00906C00" w:rsidRPr="00906C00" w:rsidRDefault="00906C00" w:rsidP="00384EA6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Provision of updates to the State Secretary, Ministry of Environment and Green Development (MEGD)</w:t>
            </w:r>
          </w:p>
          <w:p w:rsidR="0091443B" w:rsidRDefault="001E38B4" w:rsidP="00384EA6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Ecosystems valuation training </w:t>
            </w:r>
            <w:r w:rsidR="00906C00">
              <w:rPr>
                <w:rFonts w:ascii="Times New Roman" w:hAnsi="Times New Roman"/>
                <w:bCs/>
                <w:sz w:val="21"/>
                <w:szCs w:val="21"/>
              </w:rPr>
              <w:t>for MEGD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(based on request by the Govn’t)</w:t>
            </w:r>
          </w:p>
          <w:p w:rsidR="001E38B4" w:rsidRDefault="001E38B4" w:rsidP="00384EA6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Stakeholder validation of the forest sector valuation findings and way forward</w:t>
            </w:r>
          </w:p>
          <w:p w:rsidR="001E38B4" w:rsidRDefault="001E38B4" w:rsidP="00384EA6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Identification of </w:t>
            </w:r>
            <w:r w:rsidR="00DF33C4">
              <w:rPr>
                <w:rFonts w:ascii="Times New Roman" w:hAnsi="Times New Roman"/>
                <w:bCs/>
                <w:sz w:val="21"/>
                <w:szCs w:val="21"/>
              </w:rPr>
              <w:t xml:space="preserve">key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direction for ICA – using the valuation findings to leverage increased financing and cross-sectoral coordination and collaboration</w:t>
            </w:r>
          </w:p>
          <w:p w:rsidR="00906C00" w:rsidRPr="00C34B82" w:rsidRDefault="001E38B4" w:rsidP="00C34B82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Roadmap finalization</w:t>
            </w:r>
            <w:r w:rsidR="00906C00">
              <w:rPr>
                <w:rFonts w:ascii="Times New Roman" w:hAnsi="Times New Roman"/>
                <w:bCs/>
                <w:sz w:val="21"/>
                <w:szCs w:val="21"/>
              </w:rPr>
              <w:t>/initializing the implementation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</w:t>
            </w:r>
            <w:r w:rsidR="00906C00">
              <w:rPr>
                <w:rFonts w:ascii="Times New Roman" w:hAnsi="Times New Roman"/>
                <w:bCs/>
                <w:sz w:val="21"/>
                <w:szCs w:val="21"/>
              </w:rPr>
              <w:t>nd government budget allocation (discussion with Mr. Banzragch)</w:t>
            </w:r>
            <w:r w:rsidR="00C34B82">
              <w:rPr>
                <w:rFonts w:ascii="Times New Roman" w:hAnsi="Times New Roman"/>
                <w:bCs/>
                <w:sz w:val="21"/>
                <w:szCs w:val="21"/>
              </w:rPr>
              <w:t>, and the p</w:t>
            </w:r>
            <w:r w:rsidRPr="00C34B82">
              <w:rPr>
                <w:rFonts w:ascii="Times New Roman" w:hAnsi="Times New Roman"/>
                <w:bCs/>
                <w:sz w:val="21"/>
                <w:szCs w:val="21"/>
              </w:rPr>
              <w:t>articipation in the UN-REDD Policy Board meeting and Global Symposium on REDD+ in a Green Economy</w:t>
            </w:r>
          </w:p>
          <w:p w:rsidR="00D66AB0" w:rsidRPr="00384EA6" w:rsidRDefault="00DD501C" w:rsidP="00DD501C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Discussion on the p</w:t>
            </w:r>
            <w:r w:rsidR="00D209C2">
              <w:rPr>
                <w:rFonts w:ascii="Times New Roman" w:hAnsi="Times New Roman"/>
                <w:bCs/>
                <w:sz w:val="21"/>
                <w:szCs w:val="21"/>
              </w:rPr>
              <w:t xml:space="preserve">ossibility of linking up with the Poverty and Environment Initiative (PEI) and use of valuation results in the Country Office </w:t>
            </w:r>
            <w:r w:rsidR="00480E02">
              <w:rPr>
                <w:rFonts w:ascii="Times New Roman" w:hAnsi="Times New Roman"/>
                <w:bCs/>
                <w:sz w:val="21"/>
                <w:szCs w:val="21"/>
              </w:rPr>
              <w:t xml:space="preserve">programming - the UNEP Green Economy and PEI teams were also visiting Mongolia, and therefore, had a joint meeting to discuss the possibility of future collaboration.  </w:t>
            </w:r>
          </w:p>
        </w:tc>
      </w:tr>
      <w:tr w:rsidR="001559EB" w:rsidRPr="00C1798E" w:rsidTr="00943311">
        <w:trPr>
          <w:trHeight w:val="380"/>
          <w:jc w:val="center"/>
        </w:trPr>
        <w:tc>
          <w:tcPr>
            <w:tcW w:w="1077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06C00" w:rsidRPr="00943311" w:rsidRDefault="001559EB" w:rsidP="00906C0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lastRenderedPageBreak/>
              <w:t>Summary of Mission Activities/ Findings</w:t>
            </w:r>
          </w:p>
          <w:p w:rsidR="00F93931" w:rsidRPr="00943311" w:rsidRDefault="00F93931" w:rsidP="00906C0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</w:p>
          <w:p w:rsidR="00906C00" w:rsidRPr="00943311" w:rsidRDefault="00156645" w:rsidP="00384EA6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Key messages from the State Secretary and Director of the Forest Division</w:t>
            </w:r>
            <w:r w:rsidR="00993896"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, MEGD</w:t>
            </w:r>
          </w:p>
          <w:p w:rsidR="00D137FF" w:rsidRPr="00943311" w:rsidRDefault="00F93931" w:rsidP="00F93931">
            <w:pPr>
              <w:pStyle w:val="Heading3"/>
              <w:numPr>
                <w:ilvl w:val="0"/>
                <w:numId w:val="19"/>
              </w:numPr>
              <w:spacing w:before="0" w:after="0"/>
              <w:contextualSpacing/>
              <w:jc w:val="both"/>
              <w:rPr>
                <w:b w:val="0"/>
                <w:sz w:val="21"/>
                <w:szCs w:val="21"/>
              </w:rPr>
            </w:pPr>
            <w:r w:rsidRPr="00943311">
              <w:rPr>
                <w:b w:val="0"/>
                <w:sz w:val="21"/>
                <w:szCs w:val="21"/>
              </w:rPr>
              <w:t>G</w:t>
            </w:r>
            <w:r w:rsidR="006B7464" w:rsidRPr="00943311">
              <w:rPr>
                <w:b w:val="0"/>
                <w:sz w:val="21"/>
                <w:szCs w:val="21"/>
              </w:rPr>
              <w:t>overnment of Mongolia will launch the Green Development Strategy at the World Environment Day</w:t>
            </w:r>
            <w:r w:rsidR="00D137FF" w:rsidRPr="00943311">
              <w:rPr>
                <w:b w:val="0"/>
                <w:sz w:val="21"/>
                <w:szCs w:val="21"/>
              </w:rPr>
              <w:t xml:space="preserve"> (the 5</w:t>
            </w:r>
            <w:r w:rsidR="00D137FF" w:rsidRPr="00943311">
              <w:rPr>
                <w:b w:val="0"/>
                <w:sz w:val="21"/>
                <w:szCs w:val="21"/>
                <w:vertAlign w:val="superscript"/>
              </w:rPr>
              <w:t>th</w:t>
            </w:r>
            <w:r w:rsidR="00D137FF" w:rsidRPr="00943311">
              <w:rPr>
                <w:b w:val="0"/>
                <w:sz w:val="21"/>
                <w:szCs w:val="21"/>
              </w:rPr>
              <w:t xml:space="preserve"> of June)</w:t>
            </w:r>
            <w:r w:rsidR="006B7464" w:rsidRPr="00943311">
              <w:rPr>
                <w:b w:val="0"/>
                <w:sz w:val="21"/>
                <w:szCs w:val="21"/>
              </w:rPr>
              <w:t>, which will be supported by UNEP and will be attended by Achim Steiner</w:t>
            </w:r>
            <w:r w:rsidR="00D137FF" w:rsidRPr="00943311">
              <w:rPr>
                <w:b w:val="0"/>
                <w:sz w:val="21"/>
                <w:szCs w:val="21"/>
              </w:rPr>
              <w:t>.</w:t>
            </w:r>
          </w:p>
          <w:p w:rsidR="00D137FF" w:rsidRPr="00943311" w:rsidRDefault="00D137FF" w:rsidP="00F93931">
            <w:pPr>
              <w:pStyle w:val="Heading3"/>
              <w:numPr>
                <w:ilvl w:val="0"/>
                <w:numId w:val="19"/>
              </w:numPr>
              <w:spacing w:before="0" w:after="0"/>
              <w:contextualSpacing/>
              <w:jc w:val="both"/>
              <w:rPr>
                <w:b w:val="0"/>
                <w:sz w:val="21"/>
                <w:szCs w:val="21"/>
              </w:rPr>
            </w:pPr>
            <w:r w:rsidRPr="00943311">
              <w:rPr>
                <w:b w:val="0"/>
                <w:sz w:val="21"/>
                <w:szCs w:val="21"/>
              </w:rPr>
              <w:t>REDD+ Readiness Roadmap should be aligned with</w:t>
            </w:r>
            <w:r w:rsidR="00DD501C" w:rsidRPr="00943311">
              <w:rPr>
                <w:b w:val="0"/>
                <w:sz w:val="21"/>
                <w:szCs w:val="21"/>
              </w:rPr>
              <w:t xml:space="preserve"> the Green Development Strategy, as the forest sector has been identified as one of the key sectors for achieving green development.</w:t>
            </w:r>
          </w:p>
          <w:p w:rsidR="00993896" w:rsidRPr="00943311" w:rsidRDefault="00993896" w:rsidP="0099389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43311">
              <w:rPr>
                <w:rFonts w:ascii="Times New Roman" w:hAnsi="Times New Roman"/>
                <w:sz w:val="21"/>
                <w:szCs w:val="21"/>
              </w:rPr>
              <w:t>Mr. Bat-Ochir Gantulga, Director of General, Depar</w:t>
            </w:r>
            <w:r w:rsidR="00593BD4" w:rsidRPr="00943311">
              <w:rPr>
                <w:rFonts w:ascii="Times New Roman" w:hAnsi="Times New Roman"/>
                <w:sz w:val="21"/>
                <w:szCs w:val="21"/>
              </w:rPr>
              <w:t>tment of Policy Implementation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 to attend the UNEP REDD+ in a Green Economy Symposium in Indonesia. </w:t>
            </w:r>
          </w:p>
          <w:p w:rsidR="00D137FF" w:rsidRPr="00943311" w:rsidRDefault="00D137FF" w:rsidP="0099389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43311">
              <w:rPr>
                <w:rFonts w:ascii="Times New Roman" w:hAnsi="Times New Roman"/>
                <w:sz w:val="21"/>
                <w:szCs w:val="21"/>
              </w:rPr>
              <w:t>State Secretary might attend the UN-REDD Policy Board meeting</w:t>
            </w:r>
            <w:r w:rsidR="00993896" w:rsidRPr="00943311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993896" w:rsidRPr="00943311" w:rsidRDefault="00F57246" w:rsidP="00993896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43311">
              <w:rPr>
                <w:rFonts w:ascii="Times New Roman" w:hAnsi="Times New Roman"/>
                <w:sz w:val="21"/>
                <w:szCs w:val="21"/>
              </w:rPr>
              <w:t>As soon as the REDD+ Readiness Roadmap is finalized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 in June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593BD4" w:rsidRPr="00943311">
              <w:rPr>
                <w:rFonts w:ascii="Times New Roman" w:hAnsi="Times New Roman"/>
                <w:sz w:val="21"/>
                <w:szCs w:val="21"/>
              </w:rPr>
              <w:t>the ministry will propose the Roadmap to be included in the next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 regular</w:t>
            </w:r>
            <w:r w:rsidR="00593BD4" w:rsidRPr="00943311">
              <w:rPr>
                <w:rFonts w:ascii="Times New Roman" w:hAnsi="Times New Roman"/>
                <w:sz w:val="21"/>
                <w:szCs w:val="21"/>
              </w:rPr>
              <w:t xml:space="preserve"> budget cycle (2015).   Meanwhile, some small budget lines managed by the Minister could be used to finance small activities.</w:t>
            </w:r>
          </w:p>
          <w:p w:rsidR="00593BD4" w:rsidRPr="00943311" w:rsidRDefault="00593BD4" w:rsidP="00480E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1"/>
                <w:szCs w:val="21"/>
              </w:rPr>
            </w:pPr>
            <w:r w:rsidRPr="00943311">
              <w:rPr>
                <w:rFonts w:ascii="Times New Roman" w:hAnsi="Times New Roman"/>
                <w:sz w:val="21"/>
                <w:szCs w:val="21"/>
              </w:rPr>
              <w:t>In order for the Roadmap to be included in the next annual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 budget proposal by MEGD, 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>an approval from the Ministry of Finance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 is required, and for that,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clear 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donor co-financing commitments </w:t>
            </w:r>
            <w:r w:rsidR="00DD501C" w:rsidRPr="00943311">
              <w:rPr>
                <w:rFonts w:ascii="Times New Roman" w:hAnsi="Times New Roman"/>
                <w:sz w:val="21"/>
                <w:szCs w:val="21"/>
              </w:rPr>
              <w:t xml:space="preserve">need </w:t>
            </w:r>
            <w:r w:rsidR="00701B1F" w:rsidRPr="00943311">
              <w:rPr>
                <w:rFonts w:ascii="Times New Roman" w:hAnsi="Times New Roman"/>
                <w:sz w:val="21"/>
                <w:szCs w:val="21"/>
              </w:rPr>
              <w:t>to be indicated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.   There is not special budget category under which the Roadmap can be </w:t>
            </w:r>
            <w:r w:rsidR="00701B1F" w:rsidRPr="00943311">
              <w:rPr>
                <w:rFonts w:ascii="Times New Roman" w:hAnsi="Times New Roman"/>
                <w:sz w:val="21"/>
                <w:szCs w:val="21"/>
              </w:rPr>
              <w:t xml:space="preserve">considered. </w:t>
            </w:r>
            <w:r w:rsidRPr="0094331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593BD4" w:rsidRPr="00943311" w:rsidRDefault="00593BD4" w:rsidP="00480E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1"/>
                <w:szCs w:val="21"/>
              </w:rPr>
            </w:pPr>
            <w:r w:rsidRPr="00943311">
              <w:rPr>
                <w:rFonts w:ascii="Times New Roman" w:hAnsi="Times New Roman"/>
                <w:sz w:val="21"/>
                <w:szCs w:val="21"/>
              </w:rPr>
              <w:t xml:space="preserve">The Roadmap will be finalized by June and submitted to MEGD for </w:t>
            </w:r>
            <w:r w:rsidR="00701B1F" w:rsidRPr="00943311">
              <w:rPr>
                <w:rFonts w:ascii="Times New Roman" w:hAnsi="Times New Roman"/>
                <w:sz w:val="21"/>
                <w:szCs w:val="21"/>
              </w:rPr>
              <w:t xml:space="preserve">its formal </w:t>
            </w:r>
            <w:r w:rsidR="007F3699" w:rsidRPr="00943311">
              <w:rPr>
                <w:rFonts w:ascii="Times New Roman" w:hAnsi="Times New Roman"/>
                <w:sz w:val="21"/>
                <w:szCs w:val="21"/>
              </w:rPr>
              <w:t xml:space="preserve">endorsement – it is currently </w:t>
            </w:r>
            <w:r w:rsidR="00701B1F" w:rsidRPr="00943311">
              <w:rPr>
                <w:rFonts w:ascii="Times New Roman" w:hAnsi="Times New Roman"/>
                <w:sz w:val="21"/>
                <w:szCs w:val="21"/>
              </w:rPr>
              <w:t>being cleaned up</w:t>
            </w:r>
            <w:r w:rsidR="007F3699" w:rsidRPr="00943311">
              <w:rPr>
                <w:rFonts w:ascii="Times New Roman" w:hAnsi="Times New Roman"/>
                <w:sz w:val="21"/>
                <w:szCs w:val="21"/>
              </w:rPr>
              <w:t xml:space="preserve"> by a FAO consultant. </w:t>
            </w:r>
          </w:p>
          <w:p w:rsidR="00F93931" w:rsidRPr="00943311" w:rsidRDefault="00F93931" w:rsidP="00593BD4">
            <w:pPr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906C00" w:rsidRPr="00943311" w:rsidRDefault="00912CEF" w:rsidP="00723585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Ecosystem valuation training/</w:t>
            </w:r>
            <w:r w:rsidR="00723585"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validation of the forest sector valuation findings</w:t>
            </w:r>
          </w:p>
          <w:p w:rsidR="00D07FDD" w:rsidRPr="00943311" w:rsidRDefault="00912CEF" w:rsidP="00F93931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 half day training on ecosystem valuation was conducted,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immediately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prior to the validation workshop on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findings of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the forest sector valuation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work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, based on the request by MEGD to provide a training opportunity to the MEGD forestry staff.   </w:t>
            </w:r>
          </w:p>
          <w:p w:rsidR="00912CEF" w:rsidRPr="00943311" w:rsidRDefault="00912CEF" w:rsidP="00F93931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This training event resulted in lively discussions on data collection methodologies, data management and harmo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>nization across the ministries, departments and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divisions, needs for 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long-term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capacity building through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>formal education system,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and most importantly on how to use the valuation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findings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to influence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relevant sectoral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policies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and practices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to ensure SFM and green development.</w:t>
            </w:r>
          </w:p>
          <w:p w:rsidR="00D07FDD" w:rsidRPr="00943311" w:rsidRDefault="00874ED8" w:rsidP="00F93931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validation workshop was </w:t>
            </w:r>
            <w:r w:rsidR="00912CE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attended by the State Secretary of MEGD, various staff members of MEGD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>and other ministries, and independent experts.</w:t>
            </w:r>
          </w:p>
          <w:p w:rsidR="00801128" w:rsidRPr="00943311" w:rsidRDefault="00912CEF" w:rsidP="00F93931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Key discussions revolved around the date quality, and how to use the valuation findings to leverage both political and donor support to mainstream the forest sector into the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>broader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planning process, and</w:t>
            </w:r>
            <w:r w:rsidR="00701B1F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to establish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effective working relationships with other sectors that affect and are affected by the forest sector. </w:t>
            </w:r>
          </w:p>
          <w:p w:rsidR="00416D60" w:rsidRPr="00943311" w:rsidRDefault="00943311" w:rsidP="00416D60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0A24A" wp14:editId="78BEC121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800735</wp:posOffset>
                      </wp:positionV>
                      <wp:extent cx="1854200" cy="12065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12065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19FF" w:rsidRPr="00572445" w:rsidRDefault="000919FF" w:rsidP="000919FF">
                                  <w:pPr>
                                    <w:pStyle w:val="Caption"/>
                                    <w:rPr>
                                      <w:rFonts w:ascii="Times New Roman" w:hAnsi="Times New Roman"/>
                                      <w:i/>
                                      <w:noProof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Figure </w:t>
                                  </w:r>
                                  <w:fldSimple w:instr=" SEQ Figure \* ARABIC "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</w:fldSimple>
                                  <w:r>
                                    <w:t>: Focus Areas of 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1.65pt;margin-top:63.05pt;width:146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" stroked="f">
                      <v:textbox inset="0,0,0,0">
                        <w:txbxContent>
                          <w:p w:rsidR="000919FF" w:rsidRPr="00572445" w:rsidRDefault="000919FF" w:rsidP="000919FF">
                            <w:pPr>
                              <w:pStyle w:val="Caption"/>
                              <w:rPr>
                                <w:rFonts w:ascii="Times New Roman" w:hAnsi="Times New Roman"/>
                                <w:i/>
                                <w:noProof/>
                                <w:sz w:val="21"/>
                                <w:szCs w:val="21"/>
                              </w:rPr>
                            </w:pPr>
                            <w:r>
                              <w:t xml:space="preserve">Figure </w:t>
                            </w:r>
                            <w:r w:rsidR="00BE219B">
                              <w:fldChar w:fldCharType="begin"/>
                            </w:r>
                            <w:r w:rsidR="00BE219B">
                              <w:instrText xml:space="preserve"> SEQ Figure \* ARABIC </w:instrText>
                            </w:r>
                            <w:r w:rsidR="00BE219B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BE219B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Focus Areas of 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3311">
              <w:rPr>
                <w:rFonts w:ascii="Times New Roman" w:hAnsi="Times New Roman"/>
                <w:noProof/>
                <w:sz w:val="21"/>
                <w:szCs w:val="21"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4903FD6F" wp14:editId="391E5B46">
                  <wp:simplePos x="0" y="0"/>
                  <wp:positionH relativeFrom="column">
                    <wp:posOffset>3281680</wp:posOffset>
                  </wp:positionH>
                  <wp:positionV relativeFrom="paragraph">
                    <wp:posOffset>894715</wp:posOffset>
                  </wp:positionV>
                  <wp:extent cx="3277870" cy="24574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70" cy="245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Actions identified by the participants included </w:t>
            </w:r>
            <w:r w:rsidR="00416D60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economic diversification of the forest sector, 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strengthening </w:t>
            </w:r>
            <w:r w:rsidR="00416D60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>the</w:t>
            </w:r>
            <w:r w:rsidR="00416D60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role 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of forest sector in the green development agenda, better understanding of key 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>opportunity costs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and benefits 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of alternative 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land and resource use </w:t>
            </w:r>
            <w:r w:rsidR="00C71053" w:rsidRPr="00943311">
              <w:rPr>
                <w:rFonts w:ascii="Times New Roman" w:hAnsi="Times New Roman"/>
                <w:bCs/>
                <w:sz w:val="21"/>
                <w:szCs w:val="21"/>
              </w:rPr>
              <w:t>practices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 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review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of 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subsidies to stimulate 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more 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>sustainable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and diverse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investments,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a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better understanding of economic losses caused by illegal activities and poorly formulated policies, a need for integrated land </w:t>
            </w:r>
            <w:r w:rsidR="00D739AA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use planning,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>also looking at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socio-economic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and biodiversity 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benefits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>at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the landscape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level</w:t>
            </w:r>
            <w:r w:rsidR="00E72A49" w:rsidRPr="00943311">
              <w:rPr>
                <w:rFonts w:ascii="Times New Roman" w:hAnsi="Times New Roman"/>
                <w:bCs/>
                <w:sz w:val="21"/>
                <w:szCs w:val="21"/>
              </w:rPr>
              <w:t>,  and a need for the forest sector to work more closely with the agriculture sector to address drivers of land use change while diversifying economic opportunities, etc.</w:t>
            </w:r>
          </w:p>
          <w:p w:rsidR="00416D60" w:rsidRPr="00943311" w:rsidRDefault="00416D60" w:rsidP="00416D60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DF33C4" w:rsidRPr="00943311" w:rsidRDefault="00DF33C4" w:rsidP="00384EA6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Identification of key direction for ICA</w:t>
            </w:r>
          </w:p>
          <w:p w:rsidR="00156645" w:rsidRPr="00943311" w:rsidRDefault="00156645" w:rsidP="00156645">
            <w:pPr>
              <w:pStyle w:val="ListParagraph"/>
              <w:ind w:left="360"/>
              <w:contextualSpacing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34B82" w:rsidRPr="00943311" w:rsidRDefault="00C34B82" w:rsidP="0015664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Once this report is finalized</w:t>
            </w:r>
            <w:r w:rsidR="00156645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in May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, we will move into the next step - looking at a political economy of the forest sector and its relationships with other sectors at the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national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level.   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>The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report identifies f</w:t>
            </w:r>
            <w:r w:rsidR="007F3699" w:rsidRPr="00943311">
              <w:rPr>
                <w:rFonts w:ascii="Times New Roman" w:hAnsi="Times New Roman"/>
                <w:bCs/>
                <w:sz w:val="21"/>
                <w:szCs w:val="21"/>
              </w:rPr>
              <w:t>our recommended areas of action (as shown in Figure 1)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.   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>This TS initiative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will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>focus on the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first and last recommendations as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>they are more relevant to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key objective</w:t>
            </w:r>
            <w:r w:rsidR="0080112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this work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to increase financing and operational capacity for the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REDD+ Readiness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Roadmap implementation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>, particularly in relation to Outcome One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The political economy analysis will then be followed up by capacity development framework design and implementation, expected to begin in August. </w:t>
            </w:r>
          </w:p>
          <w:p w:rsidR="00156645" w:rsidRPr="00943311" w:rsidRDefault="00156645" w:rsidP="0015664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C34B82" w:rsidRPr="00943311" w:rsidRDefault="00801128" w:rsidP="00156645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noProof/>
                <w:sz w:val="21"/>
                <w:szCs w:val="21"/>
                <w:lang w:val="en-GB" w:eastAsia="ja-JP"/>
              </w:rPr>
              <w:t>Meanwhile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C34B8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recommendations on market development and stimulating investment might be </w:t>
            </w:r>
            <w:r w:rsidR="00CC066E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taken up </w:t>
            </w:r>
            <w:r w:rsidR="00C34B8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by </w:t>
            </w:r>
            <w:r w:rsidR="00CC066E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others such as the PEI Initiative and FAO’s GEF SFM project.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  <w:p w:rsidR="00DF33C4" w:rsidRPr="00943311" w:rsidRDefault="00DF33C4" w:rsidP="00480E02">
            <w:p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DF33C4" w:rsidRPr="00943311" w:rsidRDefault="00480E02" w:rsidP="00384EA6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>Partnership opportunities</w:t>
            </w:r>
          </w:p>
          <w:p w:rsidR="00480E02" w:rsidRPr="00943311" w:rsidRDefault="00480E02" w:rsidP="00DF33C4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UNRC and UNDP DRR are very 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keen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to use the res</w:t>
            </w:r>
            <w:r w:rsidR="00874ED8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ults of this valuation study </w:t>
            </w:r>
            <w:r w:rsidR="005403C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to mainstream the forest sector into its local governance and green development support activities. </w:t>
            </w:r>
          </w:p>
          <w:p w:rsidR="00DF33C4" w:rsidRPr="00943311" w:rsidRDefault="005403C2" w:rsidP="00DF33C4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CO </w:t>
            </w:r>
            <w:r w:rsidR="00480E0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wants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PEI</w:t>
            </w:r>
            <w:r w:rsidR="00F57246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to focus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on local governance issues, and therefore,</w:t>
            </w:r>
            <w:r w:rsidR="00F57246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recommendations </w:t>
            </w:r>
            <w:r w:rsidR="00F57246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on market development and stimulating investment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might be good entry points. </w:t>
            </w:r>
          </w:p>
          <w:p w:rsidR="00993896" w:rsidRPr="00943311" w:rsidRDefault="00993896" w:rsidP="00993896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Mongolia is </w:t>
            </w:r>
            <w:r w:rsidR="005403C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 partner country of 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UNEP’s </w:t>
            </w:r>
            <w:r w:rsidR="005403C2" w:rsidRPr="00943311">
              <w:rPr>
                <w:rFonts w:ascii="Times New Roman" w:hAnsi="Times New Roman"/>
                <w:bCs/>
                <w:sz w:val="21"/>
                <w:szCs w:val="21"/>
              </w:rPr>
              <w:t>Partnership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for Action on Green Economy, and as </w:t>
            </w:r>
            <w:r w:rsidR="005403C2" w:rsidRPr="00943311">
              <w:rPr>
                <w:rFonts w:ascii="Times New Roman" w:hAnsi="Times New Roman"/>
                <w:bCs/>
                <w:sz w:val="21"/>
                <w:szCs w:val="21"/>
              </w:rPr>
              <w:t>the forest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sector has been identified as one of the key sectors for green development by the Government, this present an opportunity for UNEP to play a role in linking REDD+ to the green economy work in Mongolia</w:t>
            </w:r>
          </w:p>
          <w:p w:rsidR="00D739AA" w:rsidRPr="00943311" w:rsidRDefault="00F57246" w:rsidP="00D739AA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FAO’s GEF SFM</w:t>
            </w:r>
            <w:r w:rsidR="005403C2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project is currently under preparation, and the report from the valuation work has been shared with the lead consultan</w:t>
            </w:r>
            <w:r w:rsidR="00943311"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 so that the recommendations from the valuation work could also be incorporated into the GEF project. </w:t>
            </w:r>
          </w:p>
          <w:p w:rsidR="00D739AA" w:rsidRPr="00943311" w:rsidRDefault="00D739AA" w:rsidP="00D739AA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GIZ is involved in the Economics of Ecosystems and Biodiversity (TEEB) in Mongolia, and they might be able to provide further support in this area.</w:t>
            </w:r>
          </w:p>
          <w:p w:rsidR="005B2178" w:rsidRPr="00943311" w:rsidRDefault="00F57246" w:rsidP="00906C00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The UNDP-Japan Partnership Fund has indicated that they might be able to provide </w:t>
            </w:r>
            <w:r w:rsidR="00A457DC" w:rsidRPr="00943311">
              <w:rPr>
                <w:rFonts w:ascii="Times New Roman" w:hAnsi="Times New Roman"/>
                <w:bCs/>
                <w:sz w:val="21"/>
                <w:szCs w:val="21"/>
              </w:rPr>
              <w:t>additional</w:t>
            </w: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$350,000 to help with the implementation of the Roadmap.   The Country Office will prepare and submit a concept note.</w:t>
            </w:r>
          </w:p>
          <w:p w:rsidR="00F81BA8" w:rsidRPr="00943311" w:rsidRDefault="005B2178" w:rsidP="005B2178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CC09A4" w:rsidRPr="00FE7108" w:rsidTr="00943311">
        <w:trPr>
          <w:trHeight w:val="1772"/>
          <w:jc w:val="center"/>
        </w:trPr>
        <w:tc>
          <w:tcPr>
            <w:tcW w:w="5232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45ADA" w:rsidRPr="00943311" w:rsidRDefault="00CC09A4" w:rsidP="0094238A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943311">
              <w:rPr>
                <w:bCs/>
                <w:sz w:val="21"/>
                <w:szCs w:val="21"/>
              </w:rPr>
              <w:t>Follow up actions:</w:t>
            </w:r>
          </w:p>
          <w:p w:rsidR="00A457DC" w:rsidRPr="00943311" w:rsidRDefault="00A457DC" w:rsidP="00A457DC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Finalization of the Roadmap </w:t>
            </w:r>
          </w:p>
          <w:p w:rsidR="00F81BA8" w:rsidRPr="00943311" w:rsidRDefault="0019181C" w:rsidP="005D25E9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Review and finalization of the valuation study </w:t>
            </w:r>
          </w:p>
          <w:p w:rsidR="0019181C" w:rsidRPr="00943311" w:rsidRDefault="0019181C" w:rsidP="005D25E9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>Start-up of ICA</w:t>
            </w:r>
          </w:p>
          <w:p w:rsidR="00A457DC" w:rsidRPr="00943311" w:rsidRDefault="00A457DC" w:rsidP="005D25E9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Transition to the capacity development step with the UNDP Regional Capacity Development team </w:t>
            </w:r>
          </w:p>
          <w:p w:rsidR="0019181C" w:rsidRPr="00943311" w:rsidRDefault="0019181C" w:rsidP="00A457DC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="Times New Roman" w:hAnsi="Times New Roman"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Cs/>
                <w:sz w:val="21"/>
                <w:szCs w:val="21"/>
              </w:rPr>
              <w:t xml:space="preserve">Additional resource mobilization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62CBB" w:rsidRPr="00943311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331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395E03" w:rsidRPr="00943311" w:rsidRDefault="00A62CBB" w:rsidP="005D25E9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943311">
              <w:rPr>
                <w:rFonts w:ascii="Times New Roman" w:hAnsi="Times New Roman"/>
                <w:sz w:val="21"/>
                <w:szCs w:val="21"/>
                <w:lang w:val="fr-FR"/>
              </w:rPr>
              <w:t>Tim Clairs, UN-REDD UNDP PTA</w:t>
            </w:r>
          </w:p>
          <w:p w:rsidR="0019181C" w:rsidRPr="00943311" w:rsidRDefault="00FE7108" w:rsidP="005D25E9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FE7108">
              <w:rPr>
                <w:rFonts w:ascii="Times New Roman" w:hAnsi="Times New Roman"/>
                <w:sz w:val="21"/>
                <w:szCs w:val="21"/>
                <w:lang w:val="en-GB"/>
              </w:rPr>
              <w:t>Elspeth Halverson</w:t>
            </w:r>
          </w:p>
          <w:p w:rsidR="001A2432" w:rsidRDefault="00FE7108" w:rsidP="00FE71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FE7108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Dina Hajj </w:t>
            </w:r>
            <w:r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 </w:t>
            </w:r>
          </w:p>
          <w:p w:rsidR="00FE7108" w:rsidRPr="00FE7108" w:rsidRDefault="00FE7108" w:rsidP="00FE71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FE7108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Berta Pesti </w:t>
            </w:r>
            <w:r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</w:t>
            </w:r>
          </w:p>
        </w:tc>
      </w:tr>
    </w:tbl>
    <w:p w:rsidR="00877ECA" w:rsidRPr="00FE7108" w:rsidRDefault="00877ECA" w:rsidP="00996F08">
      <w:pPr>
        <w:ind w:left="-1170" w:right="-964"/>
        <w:jc w:val="center"/>
        <w:rPr>
          <w:rFonts w:ascii="Times New Roman" w:eastAsia="Times New Roman" w:hAnsi="Times New Roman"/>
          <w:b/>
          <w:sz w:val="21"/>
          <w:szCs w:val="21"/>
          <w:lang w:val="fr-FR" w:eastAsia="zh-CN"/>
        </w:rPr>
      </w:pPr>
    </w:p>
    <w:p w:rsidR="00B10171" w:rsidRPr="00FE7108" w:rsidRDefault="00B10171" w:rsidP="00996F08">
      <w:pPr>
        <w:ind w:left="-1170" w:right="-964"/>
        <w:jc w:val="center"/>
        <w:rPr>
          <w:rFonts w:ascii="Times New Roman" w:hAnsi="Times New Roman"/>
          <w:i/>
          <w:sz w:val="21"/>
          <w:szCs w:val="21"/>
          <w:lang w:val="fr-FR"/>
        </w:rPr>
      </w:pPr>
    </w:p>
    <w:p w:rsidR="00156645" w:rsidRPr="00FE7108" w:rsidRDefault="00156645" w:rsidP="00996F08">
      <w:pPr>
        <w:ind w:left="-1170" w:right="-964"/>
        <w:jc w:val="center"/>
        <w:rPr>
          <w:rFonts w:ascii="Times New Roman" w:hAnsi="Times New Roman"/>
          <w:i/>
          <w:sz w:val="21"/>
          <w:szCs w:val="21"/>
          <w:lang w:val="fr-FR"/>
        </w:rPr>
      </w:pPr>
    </w:p>
    <w:p w:rsidR="00156645" w:rsidRPr="00FE7108" w:rsidRDefault="00156645" w:rsidP="00996F08">
      <w:pPr>
        <w:ind w:left="-1170" w:right="-964"/>
        <w:jc w:val="center"/>
        <w:rPr>
          <w:rFonts w:ascii="Times New Roman" w:hAnsi="Times New Roman"/>
          <w:i/>
          <w:sz w:val="21"/>
          <w:szCs w:val="21"/>
          <w:lang w:val="fr-FR"/>
        </w:rPr>
      </w:pPr>
    </w:p>
    <w:p w:rsidR="00156645" w:rsidRPr="00FE7108" w:rsidRDefault="00156645" w:rsidP="00156645">
      <w:pPr>
        <w:ind w:left="-1170" w:right="-964"/>
        <w:jc w:val="center"/>
        <w:rPr>
          <w:rFonts w:ascii="Times New Roman" w:hAnsi="Times New Roman"/>
          <w:i/>
          <w:szCs w:val="21"/>
          <w:lang w:val="fr-FR"/>
        </w:rPr>
      </w:pPr>
      <w:r w:rsidRPr="00FE7108">
        <w:rPr>
          <w:rFonts w:ascii="Calibri" w:hAnsi="Calibri" w:cs="Calibri"/>
          <w:color w:val="000000"/>
          <w:sz w:val="96"/>
          <w:szCs w:val="72"/>
          <w:lang w:val="fr-FR"/>
        </w:rPr>
        <w:t xml:space="preserve"> </w:t>
      </w: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rPr>
          <w:rFonts w:ascii="Times New Roman" w:hAnsi="Times New Roman"/>
          <w:sz w:val="21"/>
          <w:szCs w:val="21"/>
          <w:lang w:val="fr-FR"/>
        </w:rPr>
      </w:pPr>
    </w:p>
    <w:p w:rsidR="00156645" w:rsidRPr="00FE7108" w:rsidRDefault="00156645" w:rsidP="00156645">
      <w:pPr>
        <w:tabs>
          <w:tab w:val="left" w:pos="3872"/>
        </w:tabs>
        <w:rPr>
          <w:rFonts w:ascii="Times New Roman" w:hAnsi="Times New Roman"/>
          <w:sz w:val="21"/>
          <w:szCs w:val="21"/>
          <w:lang w:val="fr-FR"/>
        </w:rPr>
      </w:pPr>
    </w:p>
    <w:sectPr w:rsidR="00156645" w:rsidRPr="00FE7108" w:rsidSect="00943311">
      <w:footerReference w:type="default" r:id="rId11"/>
      <w:pgSz w:w="11906" w:h="16838"/>
      <w:pgMar w:top="720" w:right="566" w:bottom="720" w:left="45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92" w:rsidRDefault="00561B92" w:rsidP="005D765E">
      <w:r>
        <w:separator/>
      </w:r>
    </w:p>
  </w:endnote>
  <w:endnote w:type="continuationSeparator" w:id="0">
    <w:p w:rsidR="00561B92" w:rsidRDefault="00561B92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01F2C" w:rsidRPr="00534110" w:rsidRDefault="00101F2C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561B92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101F2C" w:rsidRDefault="00101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92" w:rsidRDefault="00561B92" w:rsidP="005D765E">
      <w:r>
        <w:separator/>
      </w:r>
    </w:p>
  </w:footnote>
  <w:footnote w:type="continuationSeparator" w:id="0">
    <w:p w:rsidR="00561B92" w:rsidRDefault="00561B92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30"/>
    <w:multiLevelType w:val="hybridMultilevel"/>
    <w:tmpl w:val="2EBC58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F4FDE"/>
    <w:multiLevelType w:val="hybridMultilevel"/>
    <w:tmpl w:val="9EFA5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3A586C"/>
    <w:multiLevelType w:val="hybridMultilevel"/>
    <w:tmpl w:val="FC3A03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E51E95"/>
    <w:multiLevelType w:val="hybridMultilevel"/>
    <w:tmpl w:val="DC322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7C5093"/>
    <w:multiLevelType w:val="hybridMultilevel"/>
    <w:tmpl w:val="C0806A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314859"/>
    <w:multiLevelType w:val="hybridMultilevel"/>
    <w:tmpl w:val="76C62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9001B9"/>
    <w:multiLevelType w:val="hybridMultilevel"/>
    <w:tmpl w:val="6C6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73FEB"/>
    <w:multiLevelType w:val="hybridMultilevel"/>
    <w:tmpl w:val="DA42A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171E75"/>
    <w:multiLevelType w:val="hybridMultilevel"/>
    <w:tmpl w:val="726E48FC"/>
    <w:lvl w:ilvl="0" w:tplc="E354CDC4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D43B9"/>
    <w:multiLevelType w:val="hybridMultilevel"/>
    <w:tmpl w:val="A1523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8D5A44"/>
    <w:multiLevelType w:val="hybridMultilevel"/>
    <w:tmpl w:val="3314FC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579EB"/>
    <w:multiLevelType w:val="hybridMultilevel"/>
    <w:tmpl w:val="1EA4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E71E2"/>
    <w:multiLevelType w:val="hybridMultilevel"/>
    <w:tmpl w:val="6DE8F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8A372A"/>
    <w:multiLevelType w:val="hybridMultilevel"/>
    <w:tmpl w:val="0C6C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ED48A8"/>
    <w:multiLevelType w:val="hybridMultilevel"/>
    <w:tmpl w:val="4BBAA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1D78FA"/>
    <w:multiLevelType w:val="hybridMultilevel"/>
    <w:tmpl w:val="B61CF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AB2C4D"/>
    <w:multiLevelType w:val="hybridMultilevel"/>
    <w:tmpl w:val="9F12F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4F3042"/>
    <w:multiLevelType w:val="hybridMultilevel"/>
    <w:tmpl w:val="8FC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8533C"/>
    <w:multiLevelType w:val="hybridMultilevel"/>
    <w:tmpl w:val="C1F45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D32F76"/>
    <w:multiLevelType w:val="hybridMultilevel"/>
    <w:tmpl w:val="E01C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492EE4"/>
    <w:multiLevelType w:val="hybridMultilevel"/>
    <w:tmpl w:val="52109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A72981"/>
    <w:multiLevelType w:val="hybridMultilevel"/>
    <w:tmpl w:val="F37C8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963C6"/>
    <w:multiLevelType w:val="hybridMultilevel"/>
    <w:tmpl w:val="F50E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876CFE"/>
    <w:multiLevelType w:val="hybridMultilevel"/>
    <w:tmpl w:val="478C54C8"/>
    <w:lvl w:ilvl="0" w:tplc="EEDAA356">
      <w:start w:val="2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21248E"/>
    <w:multiLevelType w:val="hybridMultilevel"/>
    <w:tmpl w:val="51964584"/>
    <w:lvl w:ilvl="0" w:tplc="EEDAA356">
      <w:start w:val="2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7F5E58"/>
    <w:multiLevelType w:val="hybridMultilevel"/>
    <w:tmpl w:val="35AC5112"/>
    <w:lvl w:ilvl="0" w:tplc="EEDAA356">
      <w:start w:val="2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A531CD"/>
    <w:multiLevelType w:val="hybridMultilevel"/>
    <w:tmpl w:val="75747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3D30DE"/>
    <w:multiLevelType w:val="hybridMultilevel"/>
    <w:tmpl w:val="09181C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24"/>
  </w:num>
  <w:num w:numId="5">
    <w:abstractNumId w:val="25"/>
  </w:num>
  <w:num w:numId="6">
    <w:abstractNumId w:val="26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28"/>
  </w:num>
  <w:num w:numId="12">
    <w:abstractNumId w:val="6"/>
  </w:num>
  <w:num w:numId="13">
    <w:abstractNumId w:val="22"/>
  </w:num>
  <w:num w:numId="14">
    <w:abstractNumId w:val="19"/>
  </w:num>
  <w:num w:numId="15">
    <w:abstractNumId w:val="11"/>
  </w:num>
  <w:num w:numId="16">
    <w:abstractNumId w:val="16"/>
  </w:num>
  <w:num w:numId="17">
    <w:abstractNumId w:val="7"/>
  </w:num>
  <w:num w:numId="18">
    <w:abstractNumId w:val="18"/>
  </w:num>
  <w:num w:numId="19">
    <w:abstractNumId w:val="5"/>
  </w:num>
  <w:num w:numId="20">
    <w:abstractNumId w:val="12"/>
  </w:num>
  <w:num w:numId="21">
    <w:abstractNumId w:val="1"/>
  </w:num>
  <w:num w:numId="22">
    <w:abstractNumId w:val="13"/>
  </w:num>
  <w:num w:numId="23">
    <w:abstractNumId w:val="27"/>
  </w:num>
  <w:num w:numId="24">
    <w:abstractNumId w:val="21"/>
  </w:num>
  <w:num w:numId="25">
    <w:abstractNumId w:val="9"/>
  </w:num>
  <w:num w:numId="26">
    <w:abstractNumId w:val="10"/>
  </w:num>
  <w:num w:numId="27">
    <w:abstractNumId w:val="20"/>
  </w:num>
  <w:num w:numId="28">
    <w:abstractNumId w:val="15"/>
  </w:num>
  <w:num w:numId="2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28CC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37EDF"/>
    <w:rsid w:val="00037F06"/>
    <w:rsid w:val="000424A8"/>
    <w:rsid w:val="00045666"/>
    <w:rsid w:val="000457A9"/>
    <w:rsid w:val="00051EFB"/>
    <w:rsid w:val="00061009"/>
    <w:rsid w:val="0006351A"/>
    <w:rsid w:val="000646C1"/>
    <w:rsid w:val="00071622"/>
    <w:rsid w:val="000809B9"/>
    <w:rsid w:val="00081B75"/>
    <w:rsid w:val="00082213"/>
    <w:rsid w:val="00083167"/>
    <w:rsid w:val="00083E30"/>
    <w:rsid w:val="00085D1F"/>
    <w:rsid w:val="0008740F"/>
    <w:rsid w:val="000919FF"/>
    <w:rsid w:val="00097949"/>
    <w:rsid w:val="000A141F"/>
    <w:rsid w:val="000A1CE0"/>
    <w:rsid w:val="000A2EFE"/>
    <w:rsid w:val="000A6B1E"/>
    <w:rsid w:val="000B2E71"/>
    <w:rsid w:val="000B5CB1"/>
    <w:rsid w:val="000B6A47"/>
    <w:rsid w:val="000B6FBA"/>
    <w:rsid w:val="000B7727"/>
    <w:rsid w:val="000C0B7F"/>
    <w:rsid w:val="000C26C4"/>
    <w:rsid w:val="000C55A8"/>
    <w:rsid w:val="000C77E1"/>
    <w:rsid w:val="000D0CA6"/>
    <w:rsid w:val="000D2B9B"/>
    <w:rsid w:val="000D4874"/>
    <w:rsid w:val="000D5CD5"/>
    <w:rsid w:val="000E232F"/>
    <w:rsid w:val="000E3686"/>
    <w:rsid w:val="000F4588"/>
    <w:rsid w:val="000F46FB"/>
    <w:rsid w:val="000F6446"/>
    <w:rsid w:val="00101F2C"/>
    <w:rsid w:val="001038FF"/>
    <w:rsid w:val="00107804"/>
    <w:rsid w:val="001203E4"/>
    <w:rsid w:val="0012045B"/>
    <w:rsid w:val="001211AA"/>
    <w:rsid w:val="0012247B"/>
    <w:rsid w:val="001253B6"/>
    <w:rsid w:val="00127C10"/>
    <w:rsid w:val="00127E2C"/>
    <w:rsid w:val="0013074C"/>
    <w:rsid w:val="00135330"/>
    <w:rsid w:val="001512E1"/>
    <w:rsid w:val="001559EB"/>
    <w:rsid w:val="00156645"/>
    <w:rsid w:val="001644AB"/>
    <w:rsid w:val="001653F5"/>
    <w:rsid w:val="00170048"/>
    <w:rsid w:val="00171241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181C"/>
    <w:rsid w:val="00192ED3"/>
    <w:rsid w:val="00193D30"/>
    <w:rsid w:val="00194941"/>
    <w:rsid w:val="001951E9"/>
    <w:rsid w:val="00196B1D"/>
    <w:rsid w:val="001A2432"/>
    <w:rsid w:val="001B4373"/>
    <w:rsid w:val="001B4651"/>
    <w:rsid w:val="001B708F"/>
    <w:rsid w:val="001C43E2"/>
    <w:rsid w:val="001C6309"/>
    <w:rsid w:val="001C7590"/>
    <w:rsid w:val="001D28B5"/>
    <w:rsid w:val="001D3646"/>
    <w:rsid w:val="001D5FB7"/>
    <w:rsid w:val="001E38B4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56E1B"/>
    <w:rsid w:val="00261FB3"/>
    <w:rsid w:val="002651E5"/>
    <w:rsid w:val="00266942"/>
    <w:rsid w:val="00274D54"/>
    <w:rsid w:val="00277E36"/>
    <w:rsid w:val="00280349"/>
    <w:rsid w:val="0028175F"/>
    <w:rsid w:val="00285355"/>
    <w:rsid w:val="0028548B"/>
    <w:rsid w:val="002A225B"/>
    <w:rsid w:val="002B0BE6"/>
    <w:rsid w:val="002B3C3B"/>
    <w:rsid w:val="002B4038"/>
    <w:rsid w:val="002B445C"/>
    <w:rsid w:val="002C1BD7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177E9"/>
    <w:rsid w:val="00320A5F"/>
    <w:rsid w:val="00323264"/>
    <w:rsid w:val="0032467E"/>
    <w:rsid w:val="00333AFF"/>
    <w:rsid w:val="0033404B"/>
    <w:rsid w:val="003429E1"/>
    <w:rsid w:val="00343E6D"/>
    <w:rsid w:val="00344EB9"/>
    <w:rsid w:val="00350A37"/>
    <w:rsid w:val="00352AD0"/>
    <w:rsid w:val="00356FA6"/>
    <w:rsid w:val="00365063"/>
    <w:rsid w:val="00365CAB"/>
    <w:rsid w:val="00367573"/>
    <w:rsid w:val="00367610"/>
    <w:rsid w:val="00367A4D"/>
    <w:rsid w:val="00371C4B"/>
    <w:rsid w:val="00373854"/>
    <w:rsid w:val="003765F6"/>
    <w:rsid w:val="003822C8"/>
    <w:rsid w:val="00382A41"/>
    <w:rsid w:val="00384EA6"/>
    <w:rsid w:val="00386018"/>
    <w:rsid w:val="00395E03"/>
    <w:rsid w:val="003A1003"/>
    <w:rsid w:val="003A1A09"/>
    <w:rsid w:val="003A2B1D"/>
    <w:rsid w:val="003A4A6F"/>
    <w:rsid w:val="003B1721"/>
    <w:rsid w:val="003B2D86"/>
    <w:rsid w:val="003B4A86"/>
    <w:rsid w:val="003C4DCE"/>
    <w:rsid w:val="003C6BCF"/>
    <w:rsid w:val="003D161B"/>
    <w:rsid w:val="003D2D2F"/>
    <w:rsid w:val="003D444B"/>
    <w:rsid w:val="003D7C96"/>
    <w:rsid w:val="003E0313"/>
    <w:rsid w:val="003E1548"/>
    <w:rsid w:val="003E2212"/>
    <w:rsid w:val="003E3B82"/>
    <w:rsid w:val="003E3BFA"/>
    <w:rsid w:val="003E4333"/>
    <w:rsid w:val="003E4EEB"/>
    <w:rsid w:val="003F26C6"/>
    <w:rsid w:val="003F40F7"/>
    <w:rsid w:val="00405CFD"/>
    <w:rsid w:val="00416D60"/>
    <w:rsid w:val="00422F67"/>
    <w:rsid w:val="004233E6"/>
    <w:rsid w:val="00424DF0"/>
    <w:rsid w:val="004270F6"/>
    <w:rsid w:val="00430233"/>
    <w:rsid w:val="00430ECB"/>
    <w:rsid w:val="00432A2F"/>
    <w:rsid w:val="0043388C"/>
    <w:rsid w:val="0043683E"/>
    <w:rsid w:val="00436FB8"/>
    <w:rsid w:val="004376A3"/>
    <w:rsid w:val="0044349E"/>
    <w:rsid w:val="00446A48"/>
    <w:rsid w:val="004534A3"/>
    <w:rsid w:val="00454351"/>
    <w:rsid w:val="00455760"/>
    <w:rsid w:val="00470470"/>
    <w:rsid w:val="0047173A"/>
    <w:rsid w:val="00476763"/>
    <w:rsid w:val="00477E6A"/>
    <w:rsid w:val="00480927"/>
    <w:rsid w:val="00480E02"/>
    <w:rsid w:val="004870EF"/>
    <w:rsid w:val="00487CBF"/>
    <w:rsid w:val="00492492"/>
    <w:rsid w:val="004933A5"/>
    <w:rsid w:val="00496288"/>
    <w:rsid w:val="0049637E"/>
    <w:rsid w:val="00496A8B"/>
    <w:rsid w:val="00496F6F"/>
    <w:rsid w:val="00497AED"/>
    <w:rsid w:val="004A25D0"/>
    <w:rsid w:val="004A3043"/>
    <w:rsid w:val="004A5442"/>
    <w:rsid w:val="004A7660"/>
    <w:rsid w:val="004B17E0"/>
    <w:rsid w:val="004B4ED3"/>
    <w:rsid w:val="004C3A46"/>
    <w:rsid w:val="004C6629"/>
    <w:rsid w:val="004C6E4C"/>
    <w:rsid w:val="004D6AAD"/>
    <w:rsid w:val="004E08D8"/>
    <w:rsid w:val="004E52C5"/>
    <w:rsid w:val="004E6449"/>
    <w:rsid w:val="004F27C5"/>
    <w:rsid w:val="004F4156"/>
    <w:rsid w:val="004F508A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055E"/>
    <w:rsid w:val="00531F46"/>
    <w:rsid w:val="00534110"/>
    <w:rsid w:val="005355F1"/>
    <w:rsid w:val="005403C2"/>
    <w:rsid w:val="00543599"/>
    <w:rsid w:val="00545ADA"/>
    <w:rsid w:val="00545BA8"/>
    <w:rsid w:val="00552071"/>
    <w:rsid w:val="00553A73"/>
    <w:rsid w:val="005572E1"/>
    <w:rsid w:val="005603CE"/>
    <w:rsid w:val="00561B92"/>
    <w:rsid w:val="00565CA3"/>
    <w:rsid w:val="00565E09"/>
    <w:rsid w:val="0056788B"/>
    <w:rsid w:val="0057024C"/>
    <w:rsid w:val="00571296"/>
    <w:rsid w:val="005712EF"/>
    <w:rsid w:val="005726C9"/>
    <w:rsid w:val="00573422"/>
    <w:rsid w:val="005736D4"/>
    <w:rsid w:val="005751F4"/>
    <w:rsid w:val="00575602"/>
    <w:rsid w:val="0057724A"/>
    <w:rsid w:val="005858FD"/>
    <w:rsid w:val="00587453"/>
    <w:rsid w:val="005931BF"/>
    <w:rsid w:val="00593BD4"/>
    <w:rsid w:val="005942BA"/>
    <w:rsid w:val="005966EA"/>
    <w:rsid w:val="00597490"/>
    <w:rsid w:val="005A12D4"/>
    <w:rsid w:val="005A60DD"/>
    <w:rsid w:val="005A7C23"/>
    <w:rsid w:val="005B2178"/>
    <w:rsid w:val="005B49FB"/>
    <w:rsid w:val="005B5F16"/>
    <w:rsid w:val="005B62A6"/>
    <w:rsid w:val="005C634E"/>
    <w:rsid w:val="005C69AA"/>
    <w:rsid w:val="005C6C0B"/>
    <w:rsid w:val="005D25E9"/>
    <w:rsid w:val="005D266C"/>
    <w:rsid w:val="005D6F41"/>
    <w:rsid w:val="005D765E"/>
    <w:rsid w:val="005D76A2"/>
    <w:rsid w:val="005D78D7"/>
    <w:rsid w:val="005E4001"/>
    <w:rsid w:val="005E65CF"/>
    <w:rsid w:val="005E6805"/>
    <w:rsid w:val="005F1121"/>
    <w:rsid w:val="005F1B8F"/>
    <w:rsid w:val="005F1F20"/>
    <w:rsid w:val="005F4A1B"/>
    <w:rsid w:val="005F4B99"/>
    <w:rsid w:val="005F4C8D"/>
    <w:rsid w:val="00605A6B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16DB"/>
    <w:rsid w:val="00653CD4"/>
    <w:rsid w:val="00657B29"/>
    <w:rsid w:val="0066412C"/>
    <w:rsid w:val="00666ECF"/>
    <w:rsid w:val="0067374E"/>
    <w:rsid w:val="00677C11"/>
    <w:rsid w:val="006876B7"/>
    <w:rsid w:val="006928AB"/>
    <w:rsid w:val="00693417"/>
    <w:rsid w:val="0069446D"/>
    <w:rsid w:val="006B2063"/>
    <w:rsid w:val="006B2D96"/>
    <w:rsid w:val="006B66A9"/>
    <w:rsid w:val="006B71CD"/>
    <w:rsid w:val="006B7464"/>
    <w:rsid w:val="006B7A8A"/>
    <w:rsid w:val="006C031B"/>
    <w:rsid w:val="006C4D82"/>
    <w:rsid w:val="006C5ACD"/>
    <w:rsid w:val="006C7742"/>
    <w:rsid w:val="006D2570"/>
    <w:rsid w:val="006D335B"/>
    <w:rsid w:val="006D4DE1"/>
    <w:rsid w:val="006E37B8"/>
    <w:rsid w:val="006E4BC0"/>
    <w:rsid w:val="006E4E75"/>
    <w:rsid w:val="006E6FFB"/>
    <w:rsid w:val="006F1D80"/>
    <w:rsid w:val="006F1F89"/>
    <w:rsid w:val="006F2330"/>
    <w:rsid w:val="00701B1F"/>
    <w:rsid w:val="0070311D"/>
    <w:rsid w:val="007174C0"/>
    <w:rsid w:val="00720193"/>
    <w:rsid w:val="00722F51"/>
    <w:rsid w:val="00723585"/>
    <w:rsid w:val="007308F1"/>
    <w:rsid w:val="0073228F"/>
    <w:rsid w:val="00734FEA"/>
    <w:rsid w:val="00736E09"/>
    <w:rsid w:val="007434CC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7174"/>
    <w:rsid w:val="007B02C4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3699"/>
    <w:rsid w:val="007F798A"/>
    <w:rsid w:val="008002E9"/>
    <w:rsid w:val="008002F2"/>
    <w:rsid w:val="00800EEF"/>
    <w:rsid w:val="00801128"/>
    <w:rsid w:val="0080354B"/>
    <w:rsid w:val="008043B8"/>
    <w:rsid w:val="008043CE"/>
    <w:rsid w:val="00804577"/>
    <w:rsid w:val="0080459E"/>
    <w:rsid w:val="008106BB"/>
    <w:rsid w:val="008131B7"/>
    <w:rsid w:val="00813588"/>
    <w:rsid w:val="008137A1"/>
    <w:rsid w:val="008145D8"/>
    <w:rsid w:val="0082059B"/>
    <w:rsid w:val="00823ADB"/>
    <w:rsid w:val="00824A1A"/>
    <w:rsid w:val="008256A0"/>
    <w:rsid w:val="008276F5"/>
    <w:rsid w:val="008310BC"/>
    <w:rsid w:val="0083311E"/>
    <w:rsid w:val="008336FB"/>
    <w:rsid w:val="00833DF5"/>
    <w:rsid w:val="00836FA7"/>
    <w:rsid w:val="00836FAF"/>
    <w:rsid w:val="0084122F"/>
    <w:rsid w:val="008435CE"/>
    <w:rsid w:val="00851014"/>
    <w:rsid w:val="00854CBC"/>
    <w:rsid w:val="00855AF5"/>
    <w:rsid w:val="00863E6E"/>
    <w:rsid w:val="00867039"/>
    <w:rsid w:val="00874C23"/>
    <w:rsid w:val="00874ED8"/>
    <w:rsid w:val="0087734A"/>
    <w:rsid w:val="008779AE"/>
    <w:rsid w:val="00877ECA"/>
    <w:rsid w:val="00877F40"/>
    <w:rsid w:val="00881875"/>
    <w:rsid w:val="008849DF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3C97"/>
    <w:rsid w:val="008D017C"/>
    <w:rsid w:val="008D0A79"/>
    <w:rsid w:val="008D1589"/>
    <w:rsid w:val="008D32AE"/>
    <w:rsid w:val="008D64B9"/>
    <w:rsid w:val="008D7789"/>
    <w:rsid w:val="008E1EAD"/>
    <w:rsid w:val="008E1FDB"/>
    <w:rsid w:val="008E2A45"/>
    <w:rsid w:val="008E30AA"/>
    <w:rsid w:val="008E4AAA"/>
    <w:rsid w:val="008F307B"/>
    <w:rsid w:val="008F5680"/>
    <w:rsid w:val="008F6775"/>
    <w:rsid w:val="008F7CC3"/>
    <w:rsid w:val="009036E4"/>
    <w:rsid w:val="00906C00"/>
    <w:rsid w:val="009117D0"/>
    <w:rsid w:val="00911FF9"/>
    <w:rsid w:val="0091228D"/>
    <w:rsid w:val="00912CEF"/>
    <w:rsid w:val="0091443B"/>
    <w:rsid w:val="0091686F"/>
    <w:rsid w:val="0092254F"/>
    <w:rsid w:val="00924903"/>
    <w:rsid w:val="00926CE0"/>
    <w:rsid w:val="009320BE"/>
    <w:rsid w:val="009364BC"/>
    <w:rsid w:val="0094238A"/>
    <w:rsid w:val="00943311"/>
    <w:rsid w:val="00951604"/>
    <w:rsid w:val="0095418B"/>
    <w:rsid w:val="00967003"/>
    <w:rsid w:val="00967E39"/>
    <w:rsid w:val="0097243F"/>
    <w:rsid w:val="009733C7"/>
    <w:rsid w:val="00976166"/>
    <w:rsid w:val="0097766D"/>
    <w:rsid w:val="009855D5"/>
    <w:rsid w:val="00985FD9"/>
    <w:rsid w:val="00986050"/>
    <w:rsid w:val="0098671E"/>
    <w:rsid w:val="00986B68"/>
    <w:rsid w:val="0099122C"/>
    <w:rsid w:val="00991513"/>
    <w:rsid w:val="00991B27"/>
    <w:rsid w:val="00992DB4"/>
    <w:rsid w:val="00993896"/>
    <w:rsid w:val="00996F08"/>
    <w:rsid w:val="009A5041"/>
    <w:rsid w:val="009A6F9A"/>
    <w:rsid w:val="009A77C0"/>
    <w:rsid w:val="009B2593"/>
    <w:rsid w:val="009C02B9"/>
    <w:rsid w:val="009C1B7E"/>
    <w:rsid w:val="009C57F6"/>
    <w:rsid w:val="009D2268"/>
    <w:rsid w:val="009D4E0B"/>
    <w:rsid w:val="009E1462"/>
    <w:rsid w:val="009E2B82"/>
    <w:rsid w:val="009E7A2C"/>
    <w:rsid w:val="009F02B9"/>
    <w:rsid w:val="00A0204A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36111"/>
    <w:rsid w:val="00A42EAE"/>
    <w:rsid w:val="00A438AB"/>
    <w:rsid w:val="00A457DC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4385"/>
    <w:rsid w:val="00AB6CD2"/>
    <w:rsid w:val="00AB6E8C"/>
    <w:rsid w:val="00AC2F8D"/>
    <w:rsid w:val="00AC3252"/>
    <w:rsid w:val="00AC357E"/>
    <w:rsid w:val="00AC45F8"/>
    <w:rsid w:val="00AC6E14"/>
    <w:rsid w:val="00AD19AD"/>
    <w:rsid w:val="00AD1ADA"/>
    <w:rsid w:val="00AD222B"/>
    <w:rsid w:val="00AD40D2"/>
    <w:rsid w:val="00AD48B4"/>
    <w:rsid w:val="00AD5C99"/>
    <w:rsid w:val="00AD7B7A"/>
    <w:rsid w:val="00AE1D86"/>
    <w:rsid w:val="00AE1E21"/>
    <w:rsid w:val="00AE3820"/>
    <w:rsid w:val="00AE3B47"/>
    <w:rsid w:val="00AE5007"/>
    <w:rsid w:val="00AF33AF"/>
    <w:rsid w:val="00AF4864"/>
    <w:rsid w:val="00AF7E40"/>
    <w:rsid w:val="00B04A52"/>
    <w:rsid w:val="00B10171"/>
    <w:rsid w:val="00B12BC2"/>
    <w:rsid w:val="00B23A78"/>
    <w:rsid w:val="00B2742D"/>
    <w:rsid w:val="00B27B43"/>
    <w:rsid w:val="00B27C78"/>
    <w:rsid w:val="00B3001F"/>
    <w:rsid w:val="00B3086D"/>
    <w:rsid w:val="00B30C09"/>
    <w:rsid w:val="00B31E3C"/>
    <w:rsid w:val="00B321AF"/>
    <w:rsid w:val="00B32819"/>
    <w:rsid w:val="00B547E6"/>
    <w:rsid w:val="00B5591A"/>
    <w:rsid w:val="00B55B55"/>
    <w:rsid w:val="00B606BF"/>
    <w:rsid w:val="00B74155"/>
    <w:rsid w:val="00B7474D"/>
    <w:rsid w:val="00B77A43"/>
    <w:rsid w:val="00B83C89"/>
    <w:rsid w:val="00B858E1"/>
    <w:rsid w:val="00B8598A"/>
    <w:rsid w:val="00B86305"/>
    <w:rsid w:val="00B9368F"/>
    <w:rsid w:val="00B94FC7"/>
    <w:rsid w:val="00B95F90"/>
    <w:rsid w:val="00B97A03"/>
    <w:rsid w:val="00BA0FBF"/>
    <w:rsid w:val="00BA3FE1"/>
    <w:rsid w:val="00BB44FB"/>
    <w:rsid w:val="00BB743B"/>
    <w:rsid w:val="00BC510F"/>
    <w:rsid w:val="00BC52D5"/>
    <w:rsid w:val="00BC549E"/>
    <w:rsid w:val="00BC63ED"/>
    <w:rsid w:val="00BC67CA"/>
    <w:rsid w:val="00BC706B"/>
    <w:rsid w:val="00BC7308"/>
    <w:rsid w:val="00BD04BA"/>
    <w:rsid w:val="00BD0AC4"/>
    <w:rsid w:val="00BD24ED"/>
    <w:rsid w:val="00BE219B"/>
    <w:rsid w:val="00BE3B51"/>
    <w:rsid w:val="00BE4F6E"/>
    <w:rsid w:val="00BE6497"/>
    <w:rsid w:val="00BF1045"/>
    <w:rsid w:val="00BF1B03"/>
    <w:rsid w:val="00BF6824"/>
    <w:rsid w:val="00C03617"/>
    <w:rsid w:val="00C060C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34B82"/>
    <w:rsid w:val="00C434C9"/>
    <w:rsid w:val="00C442E5"/>
    <w:rsid w:val="00C461AE"/>
    <w:rsid w:val="00C461D9"/>
    <w:rsid w:val="00C47B9A"/>
    <w:rsid w:val="00C51886"/>
    <w:rsid w:val="00C51B56"/>
    <w:rsid w:val="00C531E2"/>
    <w:rsid w:val="00C53EF1"/>
    <w:rsid w:val="00C5517D"/>
    <w:rsid w:val="00C565C3"/>
    <w:rsid w:val="00C62C95"/>
    <w:rsid w:val="00C648A5"/>
    <w:rsid w:val="00C66E9D"/>
    <w:rsid w:val="00C71053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0271"/>
    <w:rsid w:val="00CA2436"/>
    <w:rsid w:val="00CA4AE9"/>
    <w:rsid w:val="00CA4C54"/>
    <w:rsid w:val="00CA599A"/>
    <w:rsid w:val="00CA68B4"/>
    <w:rsid w:val="00CB0441"/>
    <w:rsid w:val="00CB0A8B"/>
    <w:rsid w:val="00CB3260"/>
    <w:rsid w:val="00CB4DA5"/>
    <w:rsid w:val="00CB5DF8"/>
    <w:rsid w:val="00CC066E"/>
    <w:rsid w:val="00CC09A4"/>
    <w:rsid w:val="00CC1DFA"/>
    <w:rsid w:val="00CC24D6"/>
    <w:rsid w:val="00CC2C41"/>
    <w:rsid w:val="00CC63A9"/>
    <w:rsid w:val="00CD2684"/>
    <w:rsid w:val="00CD284A"/>
    <w:rsid w:val="00CD4161"/>
    <w:rsid w:val="00CD47A7"/>
    <w:rsid w:val="00CE408D"/>
    <w:rsid w:val="00CF1BC8"/>
    <w:rsid w:val="00CF3B35"/>
    <w:rsid w:val="00CF4BAB"/>
    <w:rsid w:val="00CF4DA6"/>
    <w:rsid w:val="00CF60FD"/>
    <w:rsid w:val="00CF79B9"/>
    <w:rsid w:val="00D02144"/>
    <w:rsid w:val="00D035FD"/>
    <w:rsid w:val="00D046FD"/>
    <w:rsid w:val="00D05A45"/>
    <w:rsid w:val="00D06339"/>
    <w:rsid w:val="00D0696B"/>
    <w:rsid w:val="00D07FDD"/>
    <w:rsid w:val="00D12D86"/>
    <w:rsid w:val="00D12FBE"/>
    <w:rsid w:val="00D137FF"/>
    <w:rsid w:val="00D14500"/>
    <w:rsid w:val="00D209C2"/>
    <w:rsid w:val="00D20F10"/>
    <w:rsid w:val="00D21B6B"/>
    <w:rsid w:val="00D22EAB"/>
    <w:rsid w:val="00D2622D"/>
    <w:rsid w:val="00D32D06"/>
    <w:rsid w:val="00D44E9B"/>
    <w:rsid w:val="00D46585"/>
    <w:rsid w:val="00D50E4B"/>
    <w:rsid w:val="00D52F94"/>
    <w:rsid w:val="00D5304E"/>
    <w:rsid w:val="00D54361"/>
    <w:rsid w:val="00D62547"/>
    <w:rsid w:val="00D64D6C"/>
    <w:rsid w:val="00D66AB0"/>
    <w:rsid w:val="00D66C5C"/>
    <w:rsid w:val="00D739AA"/>
    <w:rsid w:val="00D828A8"/>
    <w:rsid w:val="00D87C76"/>
    <w:rsid w:val="00D923B6"/>
    <w:rsid w:val="00D933F1"/>
    <w:rsid w:val="00D94DEA"/>
    <w:rsid w:val="00D95AA5"/>
    <w:rsid w:val="00D961BF"/>
    <w:rsid w:val="00D979B8"/>
    <w:rsid w:val="00DA70F6"/>
    <w:rsid w:val="00DB0CCF"/>
    <w:rsid w:val="00DB2D31"/>
    <w:rsid w:val="00DB3F61"/>
    <w:rsid w:val="00DB5C78"/>
    <w:rsid w:val="00DB620F"/>
    <w:rsid w:val="00DB70C4"/>
    <w:rsid w:val="00DC58C7"/>
    <w:rsid w:val="00DC7CDE"/>
    <w:rsid w:val="00DD501C"/>
    <w:rsid w:val="00DD5E00"/>
    <w:rsid w:val="00DE0A7C"/>
    <w:rsid w:val="00DE3EC2"/>
    <w:rsid w:val="00DE50A8"/>
    <w:rsid w:val="00DF33C4"/>
    <w:rsid w:val="00DF7A55"/>
    <w:rsid w:val="00E01648"/>
    <w:rsid w:val="00E0448A"/>
    <w:rsid w:val="00E06289"/>
    <w:rsid w:val="00E12B13"/>
    <w:rsid w:val="00E14CEB"/>
    <w:rsid w:val="00E24176"/>
    <w:rsid w:val="00E248D9"/>
    <w:rsid w:val="00E27370"/>
    <w:rsid w:val="00E33A99"/>
    <w:rsid w:val="00E3675A"/>
    <w:rsid w:val="00E47DE0"/>
    <w:rsid w:val="00E523BF"/>
    <w:rsid w:val="00E527A5"/>
    <w:rsid w:val="00E53126"/>
    <w:rsid w:val="00E53916"/>
    <w:rsid w:val="00E54A29"/>
    <w:rsid w:val="00E640D0"/>
    <w:rsid w:val="00E72A49"/>
    <w:rsid w:val="00E75653"/>
    <w:rsid w:val="00E809B3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E5614"/>
    <w:rsid w:val="00EF13F9"/>
    <w:rsid w:val="00EF25EE"/>
    <w:rsid w:val="00EF713E"/>
    <w:rsid w:val="00EF7A30"/>
    <w:rsid w:val="00F012C3"/>
    <w:rsid w:val="00F01753"/>
    <w:rsid w:val="00F05DEE"/>
    <w:rsid w:val="00F0615F"/>
    <w:rsid w:val="00F108A1"/>
    <w:rsid w:val="00F1193E"/>
    <w:rsid w:val="00F145E3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3997"/>
    <w:rsid w:val="00F459E8"/>
    <w:rsid w:val="00F462F7"/>
    <w:rsid w:val="00F5152C"/>
    <w:rsid w:val="00F51900"/>
    <w:rsid w:val="00F527E1"/>
    <w:rsid w:val="00F54D97"/>
    <w:rsid w:val="00F55096"/>
    <w:rsid w:val="00F57246"/>
    <w:rsid w:val="00F61FFF"/>
    <w:rsid w:val="00F70822"/>
    <w:rsid w:val="00F7447D"/>
    <w:rsid w:val="00F7629F"/>
    <w:rsid w:val="00F777D5"/>
    <w:rsid w:val="00F77942"/>
    <w:rsid w:val="00F81BA8"/>
    <w:rsid w:val="00F82A9A"/>
    <w:rsid w:val="00F858C7"/>
    <w:rsid w:val="00F922CA"/>
    <w:rsid w:val="00F93931"/>
    <w:rsid w:val="00F95B0D"/>
    <w:rsid w:val="00F95B6F"/>
    <w:rsid w:val="00FB0B5E"/>
    <w:rsid w:val="00FB206A"/>
    <w:rsid w:val="00FB29F4"/>
    <w:rsid w:val="00FB314A"/>
    <w:rsid w:val="00FC091A"/>
    <w:rsid w:val="00FD0D98"/>
    <w:rsid w:val="00FD344A"/>
    <w:rsid w:val="00FD44C5"/>
    <w:rsid w:val="00FE710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B1017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924903"/>
    <w:rPr>
      <w:rFonts w:eastAsia="SimSun" w:cs="Angsana New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6B7464"/>
    <w:rPr>
      <w:i/>
      <w:iCs/>
    </w:rPr>
  </w:style>
  <w:style w:type="paragraph" w:styleId="Caption">
    <w:name w:val="caption"/>
    <w:basedOn w:val="Normal"/>
    <w:next w:val="Normal"/>
    <w:unhideWhenUsed/>
    <w:qFormat/>
    <w:rsid w:val="000919F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B1017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924903"/>
    <w:rPr>
      <w:rFonts w:eastAsia="SimSun" w:cs="Angsana New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6B7464"/>
    <w:rPr>
      <w:i/>
      <w:iCs/>
    </w:rPr>
  </w:style>
  <w:style w:type="paragraph" w:styleId="Caption">
    <w:name w:val="caption"/>
    <w:basedOn w:val="Normal"/>
    <w:next w:val="Normal"/>
    <w:unhideWhenUsed/>
    <w:qFormat/>
    <w:rsid w:val="000919F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9EA5-C4BD-48C1-9300-3E7865E4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Akihito Kono</cp:lastModifiedBy>
  <cp:revision>4</cp:revision>
  <cp:lastPrinted>2005-04-08T22:30:00Z</cp:lastPrinted>
  <dcterms:created xsi:type="dcterms:W3CDTF">2013-05-09T06:44:00Z</dcterms:created>
  <dcterms:modified xsi:type="dcterms:W3CDTF">2013-05-09T06:56:00Z</dcterms:modified>
</cp:coreProperties>
</file>