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49" w:rsidRDefault="00006149" w:rsidP="00006149">
      <w:pPr>
        <w:pStyle w:val="Subtitle"/>
        <w:jc w:val="center"/>
        <w:rPr>
          <w:i w:val="0"/>
          <w:color w:val="000000" w:themeColor="text1"/>
          <w:sz w:val="28"/>
        </w:rPr>
      </w:pPr>
      <w:r>
        <w:rPr>
          <w:i w:val="0"/>
          <w:color w:val="000000" w:themeColor="text1"/>
          <w:sz w:val="28"/>
        </w:rPr>
        <w:t>AGENDA</w:t>
      </w:r>
    </w:p>
    <w:p w:rsidR="00EE7AFA" w:rsidRPr="00006149" w:rsidRDefault="00EE7AFA" w:rsidP="00006149">
      <w:pPr>
        <w:pStyle w:val="Subtitle"/>
        <w:jc w:val="center"/>
        <w:rPr>
          <w:i w:val="0"/>
          <w:color w:val="000000" w:themeColor="text1"/>
        </w:rPr>
      </w:pPr>
      <w:r w:rsidRPr="00006149">
        <w:rPr>
          <w:i w:val="0"/>
          <w:color w:val="000000" w:themeColor="text1"/>
        </w:rPr>
        <w:t>PGA Team Meeting, in Oslo, Norway</w:t>
      </w:r>
      <w:r w:rsidR="00006149" w:rsidRPr="00006149">
        <w:rPr>
          <w:i w:val="0"/>
          <w:color w:val="000000" w:themeColor="text1"/>
        </w:rPr>
        <w:t xml:space="preserve"> - </w:t>
      </w:r>
      <w:r w:rsidRPr="00006149">
        <w:rPr>
          <w:i w:val="0"/>
          <w:color w:val="000000" w:themeColor="text1"/>
        </w:rPr>
        <w:t>June 16</w:t>
      </w:r>
      <w:r w:rsidR="00006149" w:rsidRPr="00006149">
        <w:rPr>
          <w:i w:val="0"/>
          <w:color w:val="000000" w:themeColor="text1"/>
        </w:rPr>
        <w:t>-</w:t>
      </w:r>
      <w:r w:rsidRPr="00006149">
        <w:rPr>
          <w:i w:val="0"/>
          <w:color w:val="000000" w:themeColor="text1"/>
        </w:rPr>
        <w:t>17 2014</w:t>
      </w:r>
    </w:p>
    <w:p w:rsidR="00EE7AFA" w:rsidRPr="00693DA5" w:rsidRDefault="00EE7AFA">
      <w:pPr>
        <w:rPr>
          <w:rStyle w:val="IntenseEmphasis"/>
          <w:i w:val="0"/>
          <w:color w:val="000000" w:themeColor="text1"/>
          <w:sz w:val="24"/>
        </w:rPr>
      </w:pPr>
      <w:r w:rsidRPr="00693DA5">
        <w:rPr>
          <w:rStyle w:val="IntenseEmphasis"/>
          <w:i w:val="0"/>
          <w:color w:val="000000" w:themeColor="text1"/>
          <w:sz w:val="24"/>
        </w:rPr>
        <w:t xml:space="preserve">DAY 1: Discussing and sharing key lessons learned </w:t>
      </w:r>
    </w:p>
    <w:tbl>
      <w:tblPr>
        <w:tblStyle w:val="TableGrid"/>
        <w:tblW w:w="0" w:type="auto"/>
        <w:tblLook w:val="04A0" w:firstRow="1" w:lastRow="0" w:firstColumn="1" w:lastColumn="0" w:noHBand="0" w:noVBand="1"/>
      </w:tblPr>
      <w:tblGrid>
        <w:gridCol w:w="1809"/>
        <w:gridCol w:w="7433"/>
      </w:tblGrid>
      <w:tr w:rsidR="00EE7AFA" w:rsidTr="00EE7AFA">
        <w:tc>
          <w:tcPr>
            <w:tcW w:w="9242" w:type="dxa"/>
            <w:gridSpan w:val="2"/>
            <w:shd w:val="clear" w:color="auto" w:fill="C6D9F1" w:themeFill="text2" w:themeFillTint="33"/>
          </w:tcPr>
          <w:p w:rsidR="00EE7AFA" w:rsidRDefault="00EE7AFA">
            <w:r w:rsidRPr="00EE7AFA">
              <w:rPr>
                <w:b/>
              </w:rPr>
              <w:t>Session 1: Stock</w:t>
            </w:r>
            <w:r>
              <w:rPr>
                <w:b/>
              </w:rPr>
              <w:t>-</w:t>
            </w:r>
            <w:r w:rsidRPr="00EE7AFA">
              <w:rPr>
                <w:b/>
              </w:rPr>
              <w:t xml:space="preserve">taking                                                                                                                 </w:t>
            </w:r>
            <w:r w:rsidRPr="00E813E4">
              <w:rPr>
                <w:b/>
              </w:rPr>
              <w:t>8:30-10:00 am</w:t>
            </w:r>
          </w:p>
          <w:p w:rsidR="00EE7AFA" w:rsidRPr="00EE7AFA" w:rsidRDefault="00EE7AFA">
            <w:pPr>
              <w:rPr>
                <w:b/>
              </w:rPr>
            </w:pPr>
          </w:p>
          <w:p w:rsidR="00E813E4" w:rsidRDefault="00E813E4" w:rsidP="007844B3">
            <w:r w:rsidRPr="00F425B8">
              <w:rPr>
                <w:sz w:val="18"/>
              </w:rPr>
              <w:t xml:space="preserve">This session will aim at providing a general introduction of the PGA work; how we are organized; different roles, responsibilities, and contributions; as well as give an overview the current status in the different PGA pilots and priorities/ </w:t>
            </w:r>
            <w:bookmarkStart w:id="0" w:name="_GoBack"/>
            <w:bookmarkEnd w:id="0"/>
            <w:r w:rsidRPr="00F425B8">
              <w:rPr>
                <w:sz w:val="18"/>
              </w:rPr>
              <w:t xml:space="preserve">key milestones for 2014. </w:t>
            </w:r>
          </w:p>
        </w:tc>
      </w:tr>
      <w:tr w:rsidR="00EE7AFA" w:rsidTr="00F425B8">
        <w:tc>
          <w:tcPr>
            <w:tcW w:w="1809" w:type="dxa"/>
          </w:tcPr>
          <w:p w:rsidR="00EE7AFA" w:rsidRPr="00EE7AFA" w:rsidRDefault="00EE7AFA">
            <w:pPr>
              <w:rPr>
                <w:sz w:val="20"/>
              </w:rPr>
            </w:pPr>
            <w:r w:rsidRPr="00EE7AFA">
              <w:rPr>
                <w:sz w:val="20"/>
              </w:rPr>
              <w:t xml:space="preserve">Moderated by </w:t>
            </w:r>
          </w:p>
          <w:p w:rsidR="00EE7AFA" w:rsidRDefault="00EE7AFA">
            <w:r w:rsidRPr="00EE7AFA">
              <w:rPr>
                <w:sz w:val="20"/>
              </w:rPr>
              <w:t>Tina Sølvberg</w:t>
            </w:r>
          </w:p>
        </w:tc>
        <w:tc>
          <w:tcPr>
            <w:tcW w:w="7433" w:type="dxa"/>
          </w:tcPr>
          <w:p w:rsidR="00EE7AFA" w:rsidRPr="00EE7AFA" w:rsidRDefault="0090748B" w:rsidP="00EE7AFA">
            <w:pPr>
              <w:pStyle w:val="ListParagraph"/>
              <w:numPr>
                <w:ilvl w:val="0"/>
                <w:numId w:val="1"/>
              </w:numPr>
              <w:rPr>
                <w:sz w:val="20"/>
              </w:rPr>
            </w:pPr>
            <w:r>
              <w:rPr>
                <w:sz w:val="20"/>
              </w:rPr>
              <w:t xml:space="preserve">Welcome and </w:t>
            </w:r>
            <w:r w:rsidR="00EE7AFA" w:rsidRPr="00EE7AFA">
              <w:rPr>
                <w:sz w:val="20"/>
              </w:rPr>
              <w:t>introductions</w:t>
            </w:r>
            <w:r>
              <w:rPr>
                <w:sz w:val="20"/>
              </w:rPr>
              <w:t>, agenda and expected outputs</w:t>
            </w:r>
          </w:p>
          <w:p w:rsidR="00EE7AFA" w:rsidRPr="00EE7AFA" w:rsidRDefault="00EE7AFA" w:rsidP="00EE7AFA">
            <w:pPr>
              <w:pStyle w:val="ListParagraph"/>
              <w:numPr>
                <w:ilvl w:val="0"/>
                <w:numId w:val="1"/>
              </w:numPr>
              <w:rPr>
                <w:sz w:val="20"/>
              </w:rPr>
            </w:pPr>
            <w:r w:rsidRPr="00EE7AFA">
              <w:rPr>
                <w:sz w:val="20"/>
              </w:rPr>
              <w:t>From the global perspective: status and pipeline activities related to the PGA work</w:t>
            </w:r>
          </w:p>
          <w:p w:rsidR="00EE7AFA" w:rsidRDefault="00EE7AFA" w:rsidP="00EE7AFA">
            <w:pPr>
              <w:pStyle w:val="ListParagraph"/>
              <w:numPr>
                <w:ilvl w:val="0"/>
                <w:numId w:val="1"/>
              </w:numPr>
            </w:pPr>
            <w:r w:rsidRPr="00EE7AFA">
              <w:rPr>
                <w:sz w:val="20"/>
              </w:rPr>
              <w:t>From the country perspective: status of the PGA processes by the national PGA coordinators; Abdul Situmorang, Thao Do and  Rosemary Obo</w:t>
            </w:r>
          </w:p>
        </w:tc>
      </w:tr>
      <w:tr w:rsidR="00EE7AFA" w:rsidTr="000B474E">
        <w:tc>
          <w:tcPr>
            <w:tcW w:w="9242" w:type="dxa"/>
            <w:gridSpan w:val="2"/>
            <w:shd w:val="clear" w:color="auto" w:fill="EEECE1" w:themeFill="background2"/>
          </w:tcPr>
          <w:p w:rsidR="00EE7AFA" w:rsidRPr="00561FD4" w:rsidRDefault="00E813E4" w:rsidP="007844B3">
            <w:pPr>
              <w:jc w:val="center"/>
            </w:pPr>
            <w:r w:rsidRPr="00561FD4">
              <w:t>Coffee break</w:t>
            </w:r>
          </w:p>
        </w:tc>
      </w:tr>
      <w:tr w:rsidR="00EE7AFA" w:rsidTr="00E813E4">
        <w:tc>
          <w:tcPr>
            <w:tcW w:w="9242" w:type="dxa"/>
            <w:gridSpan w:val="2"/>
            <w:shd w:val="clear" w:color="auto" w:fill="C6D9F1" w:themeFill="text2" w:themeFillTint="33"/>
          </w:tcPr>
          <w:p w:rsidR="00EE7AFA" w:rsidRPr="00EE7AFA" w:rsidRDefault="00EE7AFA">
            <w:pPr>
              <w:rPr>
                <w:b/>
              </w:rPr>
            </w:pPr>
            <w:r w:rsidRPr="00EE7AFA">
              <w:rPr>
                <w:b/>
              </w:rPr>
              <w:t>Session 2</w:t>
            </w:r>
            <w:r>
              <w:rPr>
                <w:b/>
              </w:rPr>
              <w:t xml:space="preserve">: </w:t>
            </w:r>
            <w:r w:rsidR="00E813E4">
              <w:rPr>
                <w:b/>
              </w:rPr>
              <w:t xml:space="preserve">How to ensure a “smooth” start-up of a PGA?                      </w:t>
            </w:r>
            <w:r w:rsidR="007844B3">
              <w:rPr>
                <w:b/>
              </w:rPr>
              <w:t xml:space="preserve">                        </w:t>
            </w:r>
            <w:r w:rsidR="00E813E4">
              <w:rPr>
                <w:b/>
              </w:rPr>
              <w:t xml:space="preserve"> </w:t>
            </w:r>
            <w:r w:rsidR="00561FD4">
              <w:rPr>
                <w:b/>
              </w:rPr>
              <w:t xml:space="preserve">   </w:t>
            </w:r>
            <w:r w:rsidR="00E813E4">
              <w:rPr>
                <w:b/>
              </w:rPr>
              <w:t xml:space="preserve">10:30-12:00 am      </w:t>
            </w:r>
          </w:p>
          <w:p w:rsidR="00EE7AFA" w:rsidRDefault="00EE7AFA"/>
          <w:p w:rsidR="0090748B" w:rsidRDefault="00E813E4" w:rsidP="007844B3">
            <w:r w:rsidRPr="00F425B8">
              <w:rPr>
                <w:sz w:val="18"/>
              </w:rPr>
              <w:t>This session will require active inputs by all participants by drawing upon experience</w:t>
            </w:r>
            <w:r w:rsidR="0090748B" w:rsidRPr="00F425B8">
              <w:rPr>
                <w:sz w:val="18"/>
              </w:rPr>
              <w:t xml:space="preserve"> from working with the PGA processes</w:t>
            </w:r>
            <w:r w:rsidRPr="00F425B8">
              <w:rPr>
                <w:sz w:val="18"/>
              </w:rPr>
              <w:t xml:space="preserve">, lessons learned and also how challenges have been dealt with at the very early stages of a PGA. What kind of advice </w:t>
            </w:r>
            <w:r w:rsidR="0090748B" w:rsidRPr="00F425B8">
              <w:rPr>
                <w:sz w:val="18"/>
              </w:rPr>
              <w:t xml:space="preserve">can and should be shared with </w:t>
            </w:r>
            <w:r w:rsidRPr="00F425B8">
              <w:rPr>
                <w:sz w:val="18"/>
              </w:rPr>
              <w:t>new practitioners embarking upon a PGA process</w:t>
            </w:r>
            <w:r w:rsidR="0090748B" w:rsidRPr="00F425B8">
              <w:rPr>
                <w:sz w:val="18"/>
              </w:rPr>
              <w:t>?</w:t>
            </w:r>
            <w:r w:rsidRPr="00F425B8">
              <w:rPr>
                <w:sz w:val="18"/>
              </w:rPr>
              <w:t xml:space="preserve"> What has worked well and </w:t>
            </w:r>
            <w:r w:rsidR="00414DD4" w:rsidRPr="00F425B8">
              <w:rPr>
                <w:sz w:val="18"/>
              </w:rPr>
              <w:t xml:space="preserve">can be advised to others, </w:t>
            </w:r>
            <w:r w:rsidR="0090748B" w:rsidRPr="00F425B8">
              <w:rPr>
                <w:sz w:val="18"/>
              </w:rPr>
              <w:t>and</w:t>
            </w:r>
            <w:r w:rsidRPr="00F425B8">
              <w:rPr>
                <w:sz w:val="18"/>
              </w:rPr>
              <w:t xml:space="preserve"> what could have been done differently</w:t>
            </w:r>
            <w:r w:rsidR="0090748B" w:rsidRPr="00F425B8">
              <w:rPr>
                <w:sz w:val="18"/>
              </w:rPr>
              <w:t>?</w:t>
            </w:r>
            <w:r w:rsidRPr="00F425B8">
              <w:rPr>
                <w:sz w:val="18"/>
              </w:rPr>
              <w:t xml:space="preserve"> </w:t>
            </w:r>
          </w:p>
        </w:tc>
      </w:tr>
      <w:tr w:rsidR="00EE7AFA" w:rsidTr="00F425B8">
        <w:tc>
          <w:tcPr>
            <w:tcW w:w="1809" w:type="dxa"/>
          </w:tcPr>
          <w:p w:rsidR="00E813E4" w:rsidRPr="00E813E4" w:rsidRDefault="00E813E4">
            <w:pPr>
              <w:rPr>
                <w:sz w:val="18"/>
              </w:rPr>
            </w:pPr>
            <w:r w:rsidRPr="00E813E4">
              <w:rPr>
                <w:sz w:val="18"/>
              </w:rPr>
              <w:t xml:space="preserve">Moderated by </w:t>
            </w:r>
          </w:p>
          <w:p w:rsidR="00EE7AFA" w:rsidRDefault="00E813E4">
            <w:r w:rsidRPr="00E813E4">
              <w:rPr>
                <w:sz w:val="18"/>
              </w:rPr>
              <w:t>Danae Issa</w:t>
            </w:r>
            <w:r w:rsidR="006F5912">
              <w:rPr>
                <w:sz w:val="18"/>
              </w:rPr>
              <w:t xml:space="preserve"> and Rosemary Obo</w:t>
            </w:r>
          </w:p>
        </w:tc>
        <w:tc>
          <w:tcPr>
            <w:tcW w:w="7433" w:type="dxa"/>
          </w:tcPr>
          <w:p w:rsidR="0090748B" w:rsidRPr="0090748B" w:rsidRDefault="0090748B" w:rsidP="0090748B">
            <w:pPr>
              <w:rPr>
                <w:sz w:val="20"/>
              </w:rPr>
            </w:pPr>
            <w:r>
              <w:rPr>
                <w:sz w:val="20"/>
              </w:rPr>
              <w:t>Points for discussion:</w:t>
            </w:r>
          </w:p>
          <w:p w:rsidR="00EE7AFA" w:rsidRPr="0090748B" w:rsidRDefault="0090748B" w:rsidP="0090748B">
            <w:pPr>
              <w:pStyle w:val="ListParagraph"/>
              <w:numPr>
                <w:ilvl w:val="0"/>
                <w:numId w:val="2"/>
              </w:numPr>
              <w:rPr>
                <w:sz w:val="20"/>
              </w:rPr>
            </w:pPr>
            <w:r w:rsidRPr="0090748B">
              <w:rPr>
                <w:sz w:val="20"/>
              </w:rPr>
              <w:t>How to ensure the right set of stakeholders from the onset</w:t>
            </w:r>
          </w:p>
          <w:p w:rsidR="0090748B" w:rsidRPr="0090748B" w:rsidRDefault="0090748B" w:rsidP="0090748B">
            <w:pPr>
              <w:pStyle w:val="ListParagraph"/>
              <w:numPr>
                <w:ilvl w:val="0"/>
                <w:numId w:val="2"/>
              </w:numPr>
              <w:rPr>
                <w:sz w:val="20"/>
              </w:rPr>
            </w:pPr>
            <w:r w:rsidRPr="0090748B">
              <w:rPr>
                <w:sz w:val="20"/>
              </w:rPr>
              <w:t>How to decide on roles, responsibilities and contributions</w:t>
            </w:r>
          </w:p>
          <w:p w:rsidR="0090748B" w:rsidRDefault="0090748B" w:rsidP="00D67189">
            <w:pPr>
              <w:pStyle w:val="CommentText"/>
              <w:numPr>
                <w:ilvl w:val="0"/>
                <w:numId w:val="2"/>
              </w:numPr>
            </w:pPr>
            <w:r w:rsidRPr="0090748B">
              <w:t>How to ensure everyone properly understands the governance challenges faced</w:t>
            </w:r>
            <w:r w:rsidR="00D67189">
              <w:t xml:space="preserve">/ </w:t>
            </w:r>
            <w:r w:rsidR="00D67189">
              <w:t>the scope of governance challenges that can be addressed by the PGA</w:t>
            </w:r>
          </w:p>
        </w:tc>
      </w:tr>
      <w:tr w:rsidR="0090748B" w:rsidTr="000B474E">
        <w:tc>
          <w:tcPr>
            <w:tcW w:w="9242" w:type="dxa"/>
            <w:gridSpan w:val="2"/>
            <w:shd w:val="clear" w:color="auto" w:fill="EEECE1" w:themeFill="background2"/>
          </w:tcPr>
          <w:p w:rsidR="00324616" w:rsidRDefault="0090748B" w:rsidP="00324616">
            <w:pPr>
              <w:jc w:val="center"/>
            </w:pPr>
            <w:r w:rsidRPr="00561FD4">
              <w:t>Lunch</w:t>
            </w:r>
          </w:p>
        </w:tc>
      </w:tr>
      <w:tr w:rsidR="0090748B" w:rsidTr="00F4714B">
        <w:tc>
          <w:tcPr>
            <w:tcW w:w="9242" w:type="dxa"/>
            <w:gridSpan w:val="2"/>
            <w:shd w:val="clear" w:color="auto" w:fill="C6D9F1" w:themeFill="text2" w:themeFillTint="33"/>
          </w:tcPr>
          <w:p w:rsidR="0090748B" w:rsidRPr="00414DD4" w:rsidRDefault="0090748B">
            <w:pPr>
              <w:rPr>
                <w:b/>
              </w:rPr>
            </w:pPr>
            <w:r w:rsidRPr="00414DD4">
              <w:rPr>
                <w:b/>
              </w:rPr>
              <w:t>Session 3: How to ensure ownership of the PGA scope and methodologi</w:t>
            </w:r>
            <w:r w:rsidR="00414DD4">
              <w:rPr>
                <w:b/>
              </w:rPr>
              <w:t>cal selections</w:t>
            </w:r>
            <w:r w:rsidR="007844B3">
              <w:rPr>
                <w:b/>
              </w:rPr>
              <w:t>?</w:t>
            </w:r>
            <w:r w:rsidR="00F4714B">
              <w:rPr>
                <w:b/>
              </w:rPr>
              <w:t xml:space="preserve">     1-</w:t>
            </w:r>
            <w:r w:rsidR="007844B3">
              <w:rPr>
                <w:b/>
              </w:rPr>
              <w:t>2:30</w:t>
            </w:r>
            <w:r w:rsidR="00F4714B">
              <w:rPr>
                <w:b/>
              </w:rPr>
              <w:t xml:space="preserve"> pm</w:t>
            </w:r>
          </w:p>
          <w:p w:rsidR="0090748B" w:rsidRDefault="0090748B"/>
          <w:p w:rsidR="0090748B" w:rsidRDefault="007844B3" w:rsidP="009375E3">
            <w:r w:rsidRPr="00F425B8">
              <w:rPr>
                <w:sz w:val="18"/>
              </w:rPr>
              <w:t>Discussion on the implementation steps of the PGA; in your experience what should be avoided, and what can enhance the ownership</w:t>
            </w:r>
            <w:r w:rsidR="00414DD4" w:rsidRPr="00F425B8">
              <w:rPr>
                <w:sz w:val="18"/>
              </w:rPr>
              <w:t xml:space="preserve"> </w:t>
            </w:r>
            <w:r w:rsidRPr="00F425B8">
              <w:rPr>
                <w:sz w:val="18"/>
              </w:rPr>
              <w:t xml:space="preserve">at this stage of the PGA? </w:t>
            </w:r>
            <w:r w:rsidR="00561FD4" w:rsidRPr="00F425B8">
              <w:rPr>
                <w:sz w:val="18"/>
              </w:rPr>
              <w:t xml:space="preserve">Who to include and how when methodological decisions are to be made? </w:t>
            </w:r>
          </w:p>
        </w:tc>
      </w:tr>
      <w:tr w:rsidR="007844B3" w:rsidTr="00D67189">
        <w:trPr>
          <w:trHeight w:val="2725"/>
        </w:trPr>
        <w:tc>
          <w:tcPr>
            <w:tcW w:w="1809" w:type="dxa"/>
            <w:shd w:val="clear" w:color="auto" w:fill="auto"/>
          </w:tcPr>
          <w:p w:rsidR="00C902DC" w:rsidRDefault="007844B3">
            <w:pPr>
              <w:rPr>
                <w:sz w:val="20"/>
              </w:rPr>
            </w:pPr>
            <w:r w:rsidRPr="007844B3">
              <w:rPr>
                <w:sz w:val="20"/>
              </w:rPr>
              <w:t xml:space="preserve">Moderated by </w:t>
            </w:r>
          </w:p>
          <w:p w:rsidR="007844B3" w:rsidRPr="007844B3" w:rsidRDefault="007844B3" w:rsidP="00D67189">
            <w:r w:rsidRPr="007844B3">
              <w:rPr>
                <w:sz w:val="20"/>
              </w:rPr>
              <w:t>Kristin DeValue</w:t>
            </w:r>
            <w:r w:rsidR="00D37F7D">
              <w:rPr>
                <w:sz w:val="20"/>
              </w:rPr>
              <w:t xml:space="preserve"> </w:t>
            </w:r>
          </w:p>
        </w:tc>
        <w:tc>
          <w:tcPr>
            <w:tcW w:w="7433" w:type="dxa"/>
            <w:shd w:val="clear" w:color="auto" w:fill="auto"/>
          </w:tcPr>
          <w:p w:rsidR="007844B3" w:rsidRDefault="009375E3">
            <w:pPr>
              <w:rPr>
                <w:sz w:val="20"/>
              </w:rPr>
            </w:pPr>
            <w:r>
              <w:rPr>
                <w:sz w:val="20"/>
              </w:rPr>
              <w:t>With the awareness that a</w:t>
            </w:r>
            <w:r w:rsidR="007844B3">
              <w:rPr>
                <w:sz w:val="20"/>
              </w:rPr>
              <w:t xml:space="preserve"> PGA cannot address all </w:t>
            </w:r>
            <w:r w:rsidR="00CF38C3">
              <w:rPr>
                <w:sz w:val="20"/>
              </w:rPr>
              <w:t xml:space="preserve">REDD+-related </w:t>
            </w:r>
            <w:r w:rsidR="007844B3">
              <w:rPr>
                <w:sz w:val="20"/>
              </w:rPr>
              <w:t>governance challenges</w:t>
            </w:r>
            <w:r>
              <w:rPr>
                <w:sz w:val="20"/>
              </w:rPr>
              <w:t>, s</w:t>
            </w:r>
            <w:r w:rsidR="00CF38C3">
              <w:rPr>
                <w:sz w:val="20"/>
              </w:rPr>
              <w:t>erious consideration is n</w:t>
            </w:r>
            <w:r w:rsidR="004C0490">
              <w:rPr>
                <w:sz w:val="20"/>
              </w:rPr>
              <w:t>eeded when</w:t>
            </w:r>
            <w:r w:rsidR="00CF38C3">
              <w:rPr>
                <w:sz w:val="20"/>
              </w:rPr>
              <w:t xml:space="preserve"> determining the PGA’s scope and </w:t>
            </w:r>
            <w:r>
              <w:rPr>
                <w:sz w:val="20"/>
              </w:rPr>
              <w:t xml:space="preserve">prioritizing the </w:t>
            </w:r>
            <w:r w:rsidR="00CF38C3">
              <w:rPr>
                <w:sz w:val="20"/>
              </w:rPr>
              <w:t>governance challenges</w:t>
            </w:r>
            <w:r>
              <w:rPr>
                <w:sz w:val="20"/>
              </w:rPr>
              <w:t xml:space="preserve"> to be addressed</w:t>
            </w:r>
            <w:r w:rsidR="00CF38C3">
              <w:rPr>
                <w:sz w:val="20"/>
              </w:rPr>
              <w:t xml:space="preserve">. </w:t>
            </w:r>
            <w:r w:rsidR="007844B3">
              <w:rPr>
                <w:sz w:val="20"/>
              </w:rPr>
              <w:t xml:space="preserve"> </w:t>
            </w:r>
            <w:r w:rsidR="00CF38C3">
              <w:rPr>
                <w:sz w:val="20"/>
              </w:rPr>
              <w:t>I</w:t>
            </w:r>
            <w:r w:rsidR="007844B3">
              <w:rPr>
                <w:sz w:val="20"/>
              </w:rPr>
              <w:t xml:space="preserve">nformed decision-making around the </w:t>
            </w:r>
            <w:r w:rsidR="007844B3">
              <w:rPr>
                <w:sz w:val="20"/>
              </w:rPr>
              <w:t>methodological choices to be made with regards to indicator development, data collection and validation of the data</w:t>
            </w:r>
            <w:r w:rsidR="007844B3">
              <w:rPr>
                <w:sz w:val="20"/>
              </w:rPr>
              <w:t>/analysis – among others</w:t>
            </w:r>
            <w:r w:rsidR="00CF38C3">
              <w:rPr>
                <w:sz w:val="20"/>
              </w:rPr>
              <w:t xml:space="preserve"> – is </w:t>
            </w:r>
            <w:proofErr w:type="gramStart"/>
            <w:r w:rsidR="00CF38C3">
              <w:rPr>
                <w:sz w:val="20"/>
              </w:rPr>
              <w:t>key</w:t>
            </w:r>
            <w:proofErr w:type="gramEnd"/>
            <w:r w:rsidR="00CF38C3">
              <w:rPr>
                <w:sz w:val="20"/>
              </w:rPr>
              <w:t xml:space="preserve"> to </w:t>
            </w:r>
            <w:r>
              <w:rPr>
                <w:sz w:val="20"/>
              </w:rPr>
              <w:t xml:space="preserve">a successful PGA process and results that are endorsed by </w:t>
            </w:r>
            <w:r w:rsidR="004C0490">
              <w:rPr>
                <w:sz w:val="20"/>
              </w:rPr>
              <w:t xml:space="preserve">diverse </w:t>
            </w:r>
            <w:r>
              <w:rPr>
                <w:sz w:val="20"/>
              </w:rPr>
              <w:t>stakeholders</w:t>
            </w:r>
            <w:r w:rsidR="007844B3">
              <w:rPr>
                <w:sz w:val="20"/>
              </w:rPr>
              <w:t>.</w:t>
            </w:r>
          </w:p>
          <w:p w:rsidR="006B0577" w:rsidRDefault="006B0577">
            <w:pPr>
              <w:rPr>
                <w:sz w:val="20"/>
              </w:rPr>
            </w:pPr>
            <w:r>
              <w:rPr>
                <w:sz w:val="20"/>
              </w:rPr>
              <w:t>Points for discussion:</w:t>
            </w:r>
          </w:p>
          <w:p w:rsidR="006B0577" w:rsidRDefault="006B0577">
            <w:pPr>
              <w:rPr>
                <w:sz w:val="20"/>
              </w:rPr>
            </w:pPr>
            <w:r>
              <w:rPr>
                <w:sz w:val="20"/>
              </w:rPr>
              <w:t>How to ensure th</w:t>
            </w:r>
            <w:r w:rsidR="009375E3">
              <w:rPr>
                <w:sz w:val="20"/>
              </w:rPr>
              <w:t>ese steps</w:t>
            </w:r>
            <w:r>
              <w:rPr>
                <w:sz w:val="20"/>
              </w:rPr>
              <w:t xml:space="preserve"> </w:t>
            </w:r>
            <w:r w:rsidR="009375E3">
              <w:rPr>
                <w:sz w:val="20"/>
              </w:rPr>
              <w:t>are</w:t>
            </w:r>
            <w:r>
              <w:rPr>
                <w:sz w:val="20"/>
              </w:rPr>
              <w:t xml:space="preserve"> country/stakeholder-led while also providing support to gather the most robust data and increase capacity?</w:t>
            </w:r>
          </w:p>
          <w:p w:rsidR="009375E3" w:rsidRPr="00D67189" w:rsidRDefault="006B0577">
            <w:pPr>
              <w:spacing w:after="200" w:line="276" w:lineRule="auto"/>
              <w:rPr>
                <w:sz w:val="20"/>
              </w:rPr>
            </w:pPr>
            <w:r>
              <w:rPr>
                <w:sz w:val="20"/>
              </w:rPr>
              <w:t>How to best support the methodological processes, from conception through data analysis?</w:t>
            </w:r>
          </w:p>
        </w:tc>
      </w:tr>
      <w:tr w:rsidR="007844B3" w:rsidTr="000B474E">
        <w:tc>
          <w:tcPr>
            <w:tcW w:w="9242" w:type="dxa"/>
            <w:gridSpan w:val="2"/>
            <w:shd w:val="clear" w:color="auto" w:fill="EEECE1" w:themeFill="background2"/>
          </w:tcPr>
          <w:p w:rsidR="007844B3" w:rsidRPr="00561FD4" w:rsidRDefault="007844B3" w:rsidP="007844B3">
            <w:pPr>
              <w:jc w:val="center"/>
            </w:pPr>
            <w:r w:rsidRPr="00561FD4">
              <w:t>Coffee break</w:t>
            </w:r>
          </w:p>
        </w:tc>
      </w:tr>
      <w:tr w:rsidR="007844B3" w:rsidTr="007844B3">
        <w:tc>
          <w:tcPr>
            <w:tcW w:w="9242" w:type="dxa"/>
            <w:gridSpan w:val="2"/>
            <w:shd w:val="clear" w:color="auto" w:fill="C6D9F1" w:themeFill="text2" w:themeFillTint="33"/>
          </w:tcPr>
          <w:p w:rsidR="007844B3" w:rsidRPr="00414DD4" w:rsidRDefault="007844B3" w:rsidP="007844B3">
            <w:pPr>
              <w:rPr>
                <w:b/>
              </w:rPr>
            </w:pPr>
            <w:r>
              <w:rPr>
                <w:b/>
              </w:rPr>
              <w:t>Session 4</w:t>
            </w:r>
            <w:r w:rsidRPr="00414DD4">
              <w:rPr>
                <w:b/>
              </w:rPr>
              <w:t xml:space="preserve">: How to ensure </w:t>
            </w:r>
            <w:r>
              <w:rPr>
                <w:b/>
              </w:rPr>
              <w:t>active use of the PGA data and space created by the PGAs?      3-4:30 pm</w:t>
            </w:r>
          </w:p>
          <w:p w:rsidR="007844B3" w:rsidRDefault="007844B3" w:rsidP="007844B3"/>
          <w:p w:rsidR="007844B3" w:rsidRDefault="00561FD4" w:rsidP="00D67189">
            <w:r w:rsidRPr="00F425B8">
              <w:rPr>
                <w:sz w:val="20"/>
              </w:rPr>
              <w:t xml:space="preserve">Once the PGA data </w:t>
            </w:r>
            <w:r w:rsidR="00D67189">
              <w:rPr>
                <w:sz w:val="20"/>
              </w:rPr>
              <w:t xml:space="preserve">is </w:t>
            </w:r>
            <w:r w:rsidRPr="00F425B8">
              <w:rPr>
                <w:sz w:val="20"/>
              </w:rPr>
              <w:t xml:space="preserve">gathered, validated and analysed, what are the next steps to ensure that </w:t>
            </w:r>
            <w:r w:rsidRPr="00F425B8">
              <w:rPr>
                <w:sz w:val="20"/>
              </w:rPr>
              <w:t>th</w:t>
            </w:r>
            <w:r w:rsidR="00CF38C3">
              <w:rPr>
                <w:sz w:val="20"/>
              </w:rPr>
              <w:t>ese</w:t>
            </w:r>
            <w:r w:rsidRPr="00F425B8">
              <w:rPr>
                <w:sz w:val="20"/>
              </w:rPr>
              <w:t xml:space="preserve"> data </w:t>
            </w:r>
            <w:r w:rsidR="00CF38C3">
              <w:rPr>
                <w:sz w:val="20"/>
              </w:rPr>
              <w:t>are</w:t>
            </w:r>
            <w:r w:rsidR="00CF38C3" w:rsidRPr="00F425B8">
              <w:rPr>
                <w:sz w:val="20"/>
              </w:rPr>
              <w:t xml:space="preserve"> </w:t>
            </w:r>
            <w:r w:rsidRPr="00F425B8">
              <w:rPr>
                <w:sz w:val="20"/>
              </w:rPr>
              <w:t xml:space="preserve">used by policy-makers, civil society actors, local communities, journalists, and other relevant end-users? </w:t>
            </w:r>
          </w:p>
        </w:tc>
      </w:tr>
      <w:tr w:rsidR="007844B3" w:rsidTr="00F425B8">
        <w:tc>
          <w:tcPr>
            <w:tcW w:w="1809" w:type="dxa"/>
            <w:shd w:val="clear" w:color="auto" w:fill="auto"/>
          </w:tcPr>
          <w:p w:rsidR="007844B3" w:rsidRPr="007844B3" w:rsidRDefault="007844B3" w:rsidP="007844B3">
            <w:r w:rsidRPr="007844B3">
              <w:rPr>
                <w:sz w:val="20"/>
              </w:rPr>
              <w:t>Moderated by Abdul Situmorang</w:t>
            </w:r>
            <w:r w:rsidR="006F5912">
              <w:rPr>
                <w:sz w:val="20"/>
              </w:rPr>
              <w:t xml:space="preserve"> and Thao Do</w:t>
            </w:r>
          </w:p>
        </w:tc>
        <w:tc>
          <w:tcPr>
            <w:tcW w:w="7433" w:type="dxa"/>
            <w:shd w:val="clear" w:color="auto" w:fill="auto"/>
          </w:tcPr>
          <w:p w:rsidR="00561FD4" w:rsidRDefault="00561FD4" w:rsidP="00561FD4">
            <w:pPr>
              <w:rPr>
                <w:sz w:val="18"/>
              </w:rPr>
            </w:pPr>
            <w:r>
              <w:rPr>
                <w:sz w:val="18"/>
              </w:rPr>
              <w:t>Points for discussion:</w:t>
            </w:r>
          </w:p>
          <w:p w:rsidR="007844B3" w:rsidRPr="00561FD4" w:rsidRDefault="00561FD4" w:rsidP="00561FD4">
            <w:pPr>
              <w:pStyle w:val="ListParagraph"/>
              <w:numPr>
                <w:ilvl w:val="0"/>
                <w:numId w:val="6"/>
              </w:numPr>
              <w:rPr>
                <w:sz w:val="18"/>
              </w:rPr>
            </w:pPr>
            <w:r w:rsidRPr="00561FD4">
              <w:rPr>
                <w:sz w:val="18"/>
              </w:rPr>
              <w:t xml:space="preserve">What is a good strategy to make sure that the data </w:t>
            </w:r>
            <w:r w:rsidR="00CF38C3">
              <w:rPr>
                <w:sz w:val="18"/>
              </w:rPr>
              <w:t xml:space="preserve">are </w:t>
            </w:r>
            <w:r w:rsidRPr="00561FD4">
              <w:rPr>
                <w:sz w:val="18"/>
              </w:rPr>
              <w:t>used within the larger national REDD+ process at the country level, or even at the local/ provincial level?</w:t>
            </w:r>
          </w:p>
          <w:p w:rsidR="007844B3" w:rsidRDefault="00561FD4" w:rsidP="001F5BE2">
            <w:pPr>
              <w:pStyle w:val="ListParagraph"/>
              <w:numPr>
                <w:ilvl w:val="0"/>
                <w:numId w:val="5"/>
              </w:numPr>
              <w:rPr>
                <w:b/>
              </w:rPr>
            </w:pPr>
            <w:r w:rsidRPr="00561FD4">
              <w:rPr>
                <w:sz w:val="18"/>
              </w:rPr>
              <w:t xml:space="preserve">How to ensure stakeholders are accessing the PGA data? </w:t>
            </w:r>
          </w:p>
        </w:tc>
      </w:tr>
      <w:tr w:rsidR="000B474E" w:rsidTr="005474BF">
        <w:tc>
          <w:tcPr>
            <w:tcW w:w="9242" w:type="dxa"/>
            <w:gridSpan w:val="2"/>
            <w:shd w:val="clear" w:color="auto" w:fill="C6D9F1" w:themeFill="text2" w:themeFillTint="33"/>
          </w:tcPr>
          <w:p w:rsidR="000B474E" w:rsidRPr="00561FD4" w:rsidRDefault="000B474E" w:rsidP="00324616">
            <w:r w:rsidRPr="00324616">
              <w:rPr>
                <w:sz w:val="20"/>
              </w:rPr>
              <w:t xml:space="preserve">Walk-through of meeting with </w:t>
            </w:r>
            <w:proofErr w:type="spellStart"/>
            <w:r w:rsidRPr="00324616">
              <w:rPr>
                <w:sz w:val="20"/>
              </w:rPr>
              <w:t>Norad</w:t>
            </w:r>
            <w:proofErr w:type="spellEnd"/>
            <w:r w:rsidRPr="00324616">
              <w:rPr>
                <w:sz w:val="20"/>
              </w:rPr>
              <w:t xml:space="preserve"> the following morning </w:t>
            </w:r>
            <w:r w:rsidR="00324616">
              <w:rPr>
                <w:sz w:val="20"/>
              </w:rPr>
              <w:t>and</w:t>
            </w:r>
            <w:r w:rsidRPr="00324616">
              <w:rPr>
                <w:sz w:val="20"/>
              </w:rPr>
              <w:t xml:space="preserve"> wrap-up of day 1 by Tina</w:t>
            </w:r>
            <w:r w:rsidR="00324616" w:rsidRPr="00324616">
              <w:rPr>
                <w:sz w:val="20"/>
              </w:rPr>
              <w:t xml:space="preserve"> </w:t>
            </w:r>
            <w:r w:rsidR="00324616">
              <w:rPr>
                <w:sz w:val="20"/>
              </w:rPr>
              <w:t xml:space="preserve">                    </w:t>
            </w:r>
            <w:r w:rsidR="00324616" w:rsidRPr="00324616">
              <w:rPr>
                <w:b/>
                <w:sz w:val="20"/>
              </w:rPr>
              <w:t>4:30-5pm</w:t>
            </w:r>
          </w:p>
        </w:tc>
      </w:tr>
      <w:tr w:rsidR="007844B3" w:rsidRPr="00324616" w:rsidTr="000B474E">
        <w:tc>
          <w:tcPr>
            <w:tcW w:w="9242" w:type="dxa"/>
            <w:gridSpan w:val="2"/>
            <w:shd w:val="clear" w:color="auto" w:fill="EEECE1" w:themeFill="background2"/>
          </w:tcPr>
          <w:p w:rsidR="00324616" w:rsidRPr="00324616" w:rsidRDefault="007844B3" w:rsidP="00324616">
            <w:pPr>
              <w:jc w:val="center"/>
              <w:rPr>
                <w:lang w:val="nb-NO"/>
              </w:rPr>
            </w:pPr>
            <w:r w:rsidRPr="00324616">
              <w:rPr>
                <w:b/>
                <w:lang w:val="nb-NO"/>
              </w:rPr>
              <w:t>Joint dinner at 7 pm</w:t>
            </w:r>
            <w:r w:rsidR="00324616" w:rsidRPr="00324616">
              <w:rPr>
                <w:b/>
                <w:lang w:val="nb-NO"/>
              </w:rPr>
              <w:t xml:space="preserve"> </w:t>
            </w:r>
          </w:p>
        </w:tc>
      </w:tr>
    </w:tbl>
    <w:p w:rsidR="00EE7AFA" w:rsidRPr="00693DA5" w:rsidRDefault="00EE7AFA">
      <w:pPr>
        <w:rPr>
          <w:rStyle w:val="IntenseEmphasis"/>
          <w:i w:val="0"/>
          <w:color w:val="000000" w:themeColor="text1"/>
          <w:sz w:val="24"/>
        </w:rPr>
      </w:pPr>
      <w:r w:rsidRPr="00693DA5">
        <w:rPr>
          <w:rStyle w:val="IntenseEmphasis"/>
          <w:i w:val="0"/>
          <w:color w:val="000000" w:themeColor="text1"/>
          <w:sz w:val="24"/>
        </w:rPr>
        <w:lastRenderedPageBreak/>
        <w:t>DAY 2:</w:t>
      </w:r>
    </w:p>
    <w:tbl>
      <w:tblPr>
        <w:tblStyle w:val="TableGrid"/>
        <w:tblW w:w="0" w:type="auto"/>
        <w:tblLook w:val="04A0" w:firstRow="1" w:lastRow="0" w:firstColumn="1" w:lastColumn="0" w:noHBand="0" w:noVBand="1"/>
      </w:tblPr>
      <w:tblGrid>
        <w:gridCol w:w="1809"/>
        <w:gridCol w:w="7433"/>
      </w:tblGrid>
      <w:tr w:rsidR="00C902DC" w:rsidTr="000B474E">
        <w:tc>
          <w:tcPr>
            <w:tcW w:w="9242" w:type="dxa"/>
            <w:gridSpan w:val="2"/>
            <w:shd w:val="clear" w:color="auto" w:fill="EEECE1" w:themeFill="background2"/>
          </w:tcPr>
          <w:p w:rsidR="00C902DC" w:rsidRPr="00C902DC" w:rsidRDefault="00C902DC" w:rsidP="00C902DC">
            <w:pPr>
              <w:jc w:val="center"/>
              <w:rPr>
                <w:b/>
              </w:rPr>
            </w:pPr>
            <w:r w:rsidRPr="00C902DC">
              <w:rPr>
                <w:b/>
              </w:rPr>
              <w:t xml:space="preserve">We all meet up at </w:t>
            </w:r>
            <w:r w:rsidRPr="00C902DC">
              <w:rPr>
                <w:b/>
                <w:u w:val="single"/>
              </w:rPr>
              <w:t>8 am</w:t>
            </w:r>
            <w:r w:rsidRPr="00C902DC">
              <w:rPr>
                <w:b/>
              </w:rPr>
              <w:t xml:space="preserve"> to prepare</w:t>
            </w:r>
            <w:r w:rsidR="000B474E">
              <w:rPr>
                <w:b/>
              </w:rPr>
              <w:t xml:space="preserve"> and go through key messages</w:t>
            </w:r>
            <w:r w:rsidRPr="00C902DC">
              <w:rPr>
                <w:b/>
              </w:rPr>
              <w:t xml:space="preserve"> for the </w:t>
            </w:r>
            <w:proofErr w:type="spellStart"/>
            <w:r w:rsidRPr="00C902DC">
              <w:rPr>
                <w:b/>
              </w:rPr>
              <w:t>Norad</w:t>
            </w:r>
            <w:proofErr w:type="spellEnd"/>
            <w:r w:rsidRPr="00C902DC">
              <w:rPr>
                <w:b/>
              </w:rPr>
              <w:t xml:space="preserve"> meeting </w:t>
            </w:r>
          </w:p>
          <w:p w:rsidR="00C902DC" w:rsidRPr="00C902DC" w:rsidRDefault="00C902DC" w:rsidP="00C902DC">
            <w:pPr>
              <w:jc w:val="center"/>
              <w:rPr>
                <w:sz w:val="20"/>
              </w:rPr>
            </w:pPr>
            <w:r w:rsidRPr="00C902DC">
              <w:rPr>
                <w:sz w:val="20"/>
              </w:rPr>
              <w:t>(same room</w:t>
            </w:r>
            <w:r w:rsidR="001F5BE2">
              <w:rPr>
                <w:sz w:val="20"/>
              </w:rPr>
              <w:t>/ venue</w:t>
            </w:r>
            <w:r w:rsidRPr="00C902DC">
              <w:rPr>
                <w:sz w:val="20"/>
              </w:rPr>
              <w:t xml:space="preserve"> as day 1)</w:t>
            </w:r>
          </w:p>
          <w:p w:rsidR="00C902DC" w:rsidRDefault="00C902DC" w:rsidP="00C902DC">
            <w:pPr>
              <w:jc w:val="center"/>
            </w:pPr>
          </w:p>
        </w:tc>
      </w:tr>
      <w:tr w:rsidR="00C902DC" w:rsidTr="00C902DC">
        <w:tc>
          <w:tcPr>
            <w:tcW w:w="9242" w:type="dxa"/>
            <w:gridSpan w:val="2"/>
            <w:shd w:val="clear" w:color="auto" w:fill="C6D9F1" w:themeFill="text2" w:themeFillTint="33"/>
          </w:tcPr>
          <w:p w:rsidR="00C902DC" w:rsidRDefault="00C902DC" w:rsidP="00C902DC">
            <w:pPr>
              <w:rPr>
                <w:b/>
              </w:rPr>
            </w:pPr>
            <w:r w:rsidRPr="00C902DC">
              <w:rPr>
                <w:b/>
              </w:rPr>
              <w:t>Information meeting</w:t>
            </w:r>
            <w:r>
              <w:rPr>
                <w:b/>
              </w:rPr>
              <w:t xml:space="preserve"> and mini-</w:t>
            </w:r>
            <w:r w:rsidRPr="00C902DC">
              <w:rPr>
                <w:b/>
              </w:rPr>
              <w:t>launch of the PGA guide:</w:t>
            </w:r>
            <w:r>
              <w:rPr>
                <w:b/>
              </w:rPr>
              <w:t xml:space="preserve">                                                    </w:t>
            </w:r>
            <w:r w:rsidR="00F425B8">
              <w:rPr>
                <w:b/>
              </w:rPr>
              <w:t>9:00-10:30 am</w:t>
            </w:r>
            <w:r>
              <w:rPr>
                <w:b/>
              </w:rPr>
              <w:t xml:space="preserve">    </w:t>
            </w:r>
          </w:p>
          <w:p w:rsidR="00C902DC" w:rsidRDefault="00C902DC" w:rsidP="00C902DC">
            <w:r>
              <w:t xml:space="preserve">See separate agenda </w:t>
            </w:r>
          </w:p>
        </w:tc>
      </w:tr>
      <w:tr w:rsidR="00F425B8" w:rsidTr="004F63B5">
        <w:tc>
          <w:tcPr>
            <w:tcW w:w="9242" w:type="dxa"/>
            <w:gridSpan w:val="2"/>
          </w:tcPr>
          <w:p w:rsidR="00F425B8" w:rsidRPr="00F425B8" w:rsidRDefault="00F425B8">
            <w:pPr>
              <w:rPr>
                <w:sz w:val="20"/>
              </w:rPr>
            </w:pPr>
            <w:r>
              <w:rPr>
                <w:sz w:val="20"/>
              </w:rPr>
              <w:t>Tentative</w:t>
            </w:r>
            <w:r w:rsidRPr="00F425B8">
              <w:rPr>
                <w:sz w:val="20"/>
              </w:rPr>
              <w:t xml:space="preserve"> technical meeting with </w:t>
            </w:r>
            <w:proofErr w:type="spellStart"/>
            <w:r w:rsidRPr="00F425B8">
              <w:rPr>
                <w:sz w:val="20"/>
              </w:rPr>
              <w:t>Norad</w:t>
            </w:r>
            <w:proofErr w:type="spellEnd"/>
            <w:r w:rsidRPr="00F425B8">
              <w:rPr>
                <w:sz w:val="20"/>
              </w:rPr>
              <w:t xml:space="preserve"> and NICFI after the information meeting/ launch </w:t>
            </w:r>
            <w:r>
              <w:rPr>
                <w:sz w:val="20"/>
              </w:rPr>
              <w:t xml:space="preserve">        10:30-11:15 am</w:t>
            </w:r>
          </w:p>
          <w:p w:rsidR="00F425B8" w:rsidRDefault="00F425B8"/>
        </w:tc>
      </w:tr>
      <w:tr w:rsidR="00F425B8" w:rsidTr="00F425B8">
        <w:tc>
          <w:tcPr>
            <w:tcW w:w="9242" w:type="dxa"/>
            <w:gridSpan w:val="2"/>
            <w:shd w:val="clear" w:color="auto" w:fill="C6D9F1" w:themeFill="text2" w:themeFillTint="33"/>
          </w:tcPr>
          <w:p w:rsidR="00F425B8" w:rsidRPr="00F425B8" w:rsidRDefault="00F425B8" w:rsidP="005474BF">
            <w:pPr>
              <w:rPr>
                <w:b/>
              </w:rPr>
            </w:pPr>
            <w:r w:rsidRPr="00F425B8">
              <w:rPr>
                <w:b/>
              </w:rPr>
              <w:t>Session 5:</w:t>
            </w:r>
            <w:r>
              <w:rPr>
                <w:b/>
              </w:rPr>
              <w:t xml:space="preserve"> Linking the PGAs properly with the national REDD+ processes</w:t>
            </w:r>
            <w:r w:rsidR="005474BF">
              <w:rPr>
                <w:b/>
              </w:rPr>
              <w:t xml:space="preserve">                     11:30 am–1 pm</w:t>
            </w:r>
          </w:p>
        </w:tc>
      </w:tr>
      <w:tr w:rsidR="00EE7AFA" w:rsidTr="00693DA5">
        <w:tc>
          <w:tcPr>
            <w:tcW w:w="1809" w:type="dxa"/>
          </w:tcPr>
          <w:p w:rsidR="00F425B8" w:rsidRDefault="00F425B8">
            <w:pPr>
              <w:rPr>
                <w:sz w:val="20"/>
              </w:rPr>
            </w:pPr>
            <w:r w:rsidRPr="00F425B8">
              <w:rPr>
                <w:sz w:val="20"/>
              </w:rPr>
              <w:t xml:space="preserve">Moderated by </w:t>
            </w:r>
          </w:p>
          <w:p w:rsidR="00EE7AFA" w:rsidRDefault="00F425B8" w:rsidP="00D67189">
            <w:r>
              <w:rPr>
                <w:sz w:val="20"/>
              </w:rPr>
              <w:t>Estelle Fach</w:t>
            </w:r>
            <w:r w:rsidR="00693DA5">
              <w:rPr>
                <w:sz w:val="20"/>
              </w:rPr>
              <w:t xml:space="preserve"> and Kristin DeValue </w:t>
            </w:r>
          </w:p>
        </w:tc>
        <w:tc>
          <w:tcPr>
            <w:tcW w:w="7433" w:type="dxa"/>
          </w:tcPr>
          <w:p w:rsidR="00EE7AFA" w:rsidRDefault="00D37F7D">
            <w:pPr>
              <w:rPr>
                <w:sz w:val="20"/>
              </w:rPr>
            </w:pPr>
            <w:r w:rsidRPr="00D37F7D">
              <w:rPr>
                <w:sz w:val="20"/>
              </w:rPr>
              <w:t>This session will look at the active use of the PGA data, along with the sustainability of the PGA process. So, what are the best ways of ensuring that there is proper uptake by key government institutions, such as within the Safeguards Information System</w:t>
            </w:r>
            <w:r>
              <w:rPr>
                <w:sz w:val="20"/>
              </w:rPr>
              <w:t xml:space="preserve"> (SIS), as a monitoring tool, etc?</w:t>
            </w:r>
          </w:p>
          <w:p w:rsidR="005474BF" w:rsidRDefault="005474BF"/>
        </w:tc>
      </w:tr>
      <w:tr w:rsidR="005474BF" w:rsidTr="005474BF">
        <w:tc>
          <w:tcPr>
            <w:tcW w:w="9242" w:type="dxa"/>
            <w:gridSpan w:val="2"/>
            <w:shd w:val="clear" w:color="auto" w:fill="EEECE1" w:themeFill="background2"/>
          </w:tcPr>
          <w:p w:rsidR="005474BF" w:rsidRPr="005474BF" w:rsidRDefault="005474BF" w:rsidP="005474BF">
            <w:pPr>
              <w:jc w:val="center"/>
            </w:pPr>
            <w:r w:rsidRPr="005474BF">
              <w:t>Lunch</w:t>
            </w:r>
          </w:p>
        </w:tc>
      </w:tr>
      <w:tr w:rsidR="00693DA5" w:rsidTr="00324616">
        <w:tc>
          <w:tcPr>
            <w:tcW w:w="9242" w:type="dxa"/>
            <w:gridSpan w:val="2"/>
            <w:shd w:val="clear" w:color="auto" w:fill="C6D9F1" w:themeFill="text2" w:themeFillTint="33"/>
          </w:tcPr>
          <w:p w:rsidR="00693DA5" w:rsidRDefault="00693DA5" w:rsidP="005474BF">
            <w:r w:rsidRPr="00F425B8">
              <w:rPr>
                <w:b/>
              </w:rPr>
              <w:t xml:space="preserve">Session </w:t>
            </w:r>
            <w:r>
              <w:rPr>
                <w:b/>
              </w:rPr>
              <w:t>6</w:t>
            </w:r>
            <w:r w:rsidRPr="00F425B8">
              <w:rPr>
                <w:b/>
              </w:rPr>
              <w:t>:</w:t>
            </w:r>
            <w:r>
              <w:rPr>
                <w:b/>
              </w:rPr>
              <w:t xml:space="preserve"> How can we build on additional work and resource persons within the UN-REDD Programme?</w:t>
            </w:r>
            <w:r w:rsidR="005474BF">
              <w:rPr>
                <w:b/>
              </w:rPr>
              <w:t xml:space="preserve">                                                                                                                                         2-3:30 pm</w:t>
            </w:r>
          </w:p>
        </w:tc>
      </w:tr>
      <w:tr w:rsidR="00EE7AFA" w:rsidTr="00693DA5">
        <w:tc>
          <w:tcPr>
            <w:tcW w:w="1809" w:type="dxa"/>
          </w:tcPr>
          <w:p w:rsidR="00EE7AFA" w:rsidRDefault="00693DA5">
            <w:r w:rsidRPr="00693DA5">
              <w:rPr>
                <w:sz w:val="20"/>
              </w:rPr>
              <w:t>Moderated by Estelle Fach</w:t>
            </w:r>
          </w:p>
        </w:tc>
        <w:tc>
          <w:tcPr>
            <w:tcW w:w="7433" w:type="dxa"/>
          </w:tcPr>
          <w:p w:rsidR="00324616" w:rsidRDefault="00D37F7D" w:rsidP="005474BF">
            <w:pPr>
              <w:rPr>
                <w:sz w:val="20"/>
              </w:rPr>
            </w:pPr>
            <w:r w:rsidRPr="00D37F7D">
              <w:rPr>
                <w:sz w:val="20"/>
              </w:rPr>
              <w:t xml:space="preserve">The UN-REDD Programme </w:t>
            </w:r>
            <w:r w:rsidR="005474BF">
              <w:rPr>
                <w:sz w:val="20"/>
              </w:rPr>
              <w:t xml:space="preserve">works on a number of “work streams” that are relevant to the PGA and vice versa. An overview of these will be given, followed by a discussion on how to most appropriately ensure an integration of the PGA with these work streams as relevant. </w:t>
            </w:r>
          </w:p>
          <w:p w:rsidR="005474BF" w:rsidRDefault="005474BF" w:rsidP="005474BF"/>
        </w:tc>
      </w:tr>
      <w:tr w:rsidR="005474BF" w:rsidTr="005474BF">
        <w:tc>
          <w:tcPr>
            <w:tcW w:w="9242" w:type="dxa"/>
            <w:gridSpan w:val="2"/>
            <w:shd w:val="clear" w:color="auto" w:fill="EEECE1" w:themeFill="background2"/>
          </w:tcPr>
          <w:p w:rsidR="005474BF" w:rsidRPr="00D37F7D" w:rsidRDefault="005474BF" w:rsidP="005474BF">
            <w:pPr>
              <w:jc w:val="center"/>
              <w:rPr>
                <w:sz w:val="20"/>
              </w:rPr>
            </w:pPr>
            <w:r w:rsidRPr="005474BF">
              <w:t>Coffee break</w:t>
            </w:r>
          </w:p>
        </w:tc>
      </w:tr>
      <w:tr w:rsidR="00693DA5" w:rsidTr="00324616">
        <w:tc>
          <w:tcPr>
            <w:tcW w:w="9242" w:type="dxa"/>
            <w:gridSpan w:val="2"/>
            <w:shd w:val="clear" w:color="auto" w:fill="C6D9F1" w:themeFill="text2" w:themeFillTint="33"/>
          </w:tcPr>
          <w:p w:rsidR="00693DA5" w:rsidRPr="00324616" w:rsidRDefault="00693DA5" w:rsidP="005474BF">
            <w:pPr>
              <w:rPr>
                <w:b/>
              </w:rPr>
            </w:pPr>
            <w:r w:rsidRPr="00324616">
              <w:rPr>
                <w:b/>
              </w:rPr>
              <w:t>Session 7: The importance of documenting our work and results</w:t>
            </w:r>
            <w:r w:rsidR="005474BF">
              <w:rPr>
                <w:b/>
              </w:rPr>
              <w:t xml:space="preserve">                                          3:45-4:20</w:t>
            </w:r>
          </w:p>
        </w:tc>
      </w:tr>
      <w:tr w:rsidR="00324616" w:rsidTr="00324616">
        <w:tc>
          <w:tcPr>
            <w:tcW w:w="1809" w:type="dxa"/>
          </w:tcPr>
          <w:p w:rsidR="00324616" w:rsidRPr="00324616" w:rsidRDefault="00324616">
            <w:pPr>
              <w:rPr>
                <w:sz w:val="20"/>
              </w:rPr>
            </w:pPr>
            <w:r w:rsidRPr="00324616">
              <w:rPr>
                <w:sz w:val="20"/>
              </w:rPr>
              <w:t xml:space="preserve">Moderated by </w:t>
            </w:r>
          </w:p>
          <w:p w:rsidR="00324616" w:rsidRDefault="00324616">
            <w:r w:rsidRPr="00324616">
              <w:rPr>
                <w:sz w:val="20"/>
              </w:rPr>
              <w:t>Tina Sølvberg</w:t>
            </w:r>
          </w:p>
        </w:tc>
        <w:tc>
          <w:tcPr>
            <w:tcW w:w="7433" w:type="dxa"/>
          </w:tcPr>
          <w:p w:rsidR="00324616" w:rsidRDefault="00006149" w:rsidP="00006149">
            <w:pPr>
              <w:rPr>
                <w:sz w:val="20"/>
              </w:rPr>
            </w:pPr>
            <w:r w:rsidRPr="00006149">
              <w:rPr>
                <w:sz w:val="20"/>
              </w:rPr>
              <w:t>Examples of good reporting throughout the PGA pilots, reporting requirements, “tools” to share our work and innovative ideas on how to improve the visibility of our work to country counterparts, PB members and others.</w:t>
            </w:r>
          </w:p>
          <w:p w:rsidR="005474BF" w:rsidRDefault="005474BF" w:rsidP="00006149"/>
        </w:tc>
      </w:tr>
      <w:tr w:rsidR="00693DA5" w:rsidTr="005474BF">
        <w:tc>
          <w:tcPr>
            <w:tcW w:w="9242" w:type="dxa"/>
            <w:gridSpan w:val="2"/>
            <w:shd w:val="clear" w:color="auto" w:fill="C6D9F1" w:themeFill="text2" w:themeFillTint="33"/>
          </w:tcPr>
          <w:p w:rsidR="00693DA5" w:rsidRDefault="00693DA5" w:rsidP="005474BF">
            <w:pPr>
              <w:jc w:val="center"/>
            </w:pPr>
            <w:r w:rsidRPr="00324616">
              <w:rPr>
                <w:sz w:val="20"/>
              </w:rPr>
              <w:t>Wrap</w:t>
            </w:r>
            <w:r w:rsidR="00324616" w:rsidRPr="00324616">
              <w:rPr>
                <w:sz w:val="20"/>
              </w:rPr>
              <w:t>-</w:t>
            </w:r>
            <w:r w:rsidRPr="00324616">
              <w:rPr>
                <w:sz w:val="20"/>
              </w:rPr>
              <w:t>up</w:t>
            </w:r>
            <w:r w:rsidR="00324616" w:rsidRPr="00324616">
              <w:rPr>
                <w:sz w:val="20"/>
              </w:rPr>
              <w:t xml:space="preserve"> of day 2</w:t>
            </w:r>
            <w:r w:rsidR="005474BF">
              <w:rPr>
                <w:sz w:val="20"/>
              </w:rPr>
              <w:t xml:space="preserve"> by Thao Do and Rosemary Obo                                                                                    4:40-5 pm</w:t>
            </w:r>
          </w:p>
        </w:tc>
      </w:tr>
      <w:tr w:rsidR="00693DA5" w:rsidTr="005474BF">
        <w:tc>
          <w:tcPr>
            <w:tcW w:w="9242" w:type="dxa"/>
            <w:gridSpan w:val="2"/>
            <w:shd w:val="clear" w:color="auto" w:fill="EEECE1" w:themeFill="background2"/>
          </w:tcPr>
          <w:p w:rsidR="005474BF" w:rsidRPr="005474BF" w:rsidRDefault="00324616" w:rsidP="005474BF">
            <w:pPr>
              <w:jc w:val="center"/>
            </w:pPr>
            <w:r>
              <w:rPr>
                <w:b/>
              </w:rPr>
              <w:t>Joint dinner at 7 pm</w:t>
            </w:r>
          </w:p>
        </w:tc>
      </w:tr>
    </w:tbl>
    <w:p w:rsidR="00EE7AFA" w:rsidRPr="00EE7AFA" w:rsidRDefault="00EE7AFA" w:rsidP="00693DA5">
      <w:pPr>
        <w:jc w:val="center"/>
      </w:pPr>
    </w:p>
    <w:sectPr w:rsidR="00EE7AFA" w:rsidRPr="00EE7AFA" w:rsidSect="00225355">
      <w:headerReference w:type="default" r:id="rId8"/>
      <w:pgSz w:w="11906" w:h="16838"/>
      <w:pgMar w:top="1440" w:right="1440" w:bottom="993"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55" w:rsidRDefault="00225355" w:rsidP="00225355">
      <w:pPr>
        <w:spacing w:after="0" w:line="240" w:lineRule="auto"/>
      </w:pPr>
      <w:r>
        <w:separator/>
      </w:r>
    </w:p>
  </w:endnote>
  <w:endnote w:type="continuationSeparator" w:id="0">
    <w:p w:rsidR="00225355" w:rsidRDefault="00225355" w:rsidP="0022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55" w:rsidRDefault="00225355" w:rsidP="00225355">
      <w:pPr>
        <w:spacing w:after="0" w:line="240" w:lineRule="auto"/>
      </w:pPr>
      <w:r>
        <w:separator/>
      </w:r>
    </w:p>
  </w:footnote>
  <w:footnote w:type="continuationSeparator" w:id="0">
    <w:p w:rsidR="00225355" w:rsidRDefault="00225355" w:rsidP="00225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55" w:rsidRDefault="00225355" w:rsidP="00225355">
    <w:pPr>
      <w:pStyle w:val="Header"/>
      <w:jc w:val="right"/>
    </w:pPr>
    <w:r>
      <w:rPr>
        <w:noProof/>
        <w:lang w:eastAsia="en-GB"/>
      </w:rPr>
      <w:drawing>
        <wp:inline distT="0" distB="0" distL="0" distR="0" wp14:anchorId="7F5C1993" wp14:editId="0B4E1C4F">
          <wp:extent cx="800100" cy="697117"/>
          <wp:effectExtent l="0" t="0" r="0" b="8255"/>
          <wp:docPr id="2" name="Picture 2" descr="C:\Users\tina.hageberg\AppData\Local\Microsoft\Windows\Temporary Internet Files\Content.Outlook\6P1W9YQY\UN-RED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hageberg\AppData\Local\Microsoft\Windows\Temporary Internet Files\Content.Outlook\6P1W9YQY\UN-RED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12" cy="6971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55B"/>
    <w:multiLevelType w:val="hybridMultilevel"/>
    <w:tmpl w:val="673A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3653AF"/>
    <w:multiLevelType w:val="hybridMultilevel"/>
    <w:tmpl w:val="4490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2652F2"/>
    <w:multiLevelType w:val="hybridMultilevel"/>
    <w:tmpl w:val="584A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9466A6"/>
    <w:multiLevelType w:val="hybridMultilevel"/>
    <w:tmpl w:val="78B6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A12A86"/>
    <w:multiLevelType w:val="hybridMultilevel"/>
    <w:tmpl w:val="E0408A0C"/>
    <w:lvl w:ilvl="0" w:tplc="00CE5F42">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BC7DAF"/>
    <w:multiLevelType w:val="hybridMultilevel"/>
    <w:tmpl w:val="29D4F8B4"/>
    <w:lvl w:ilvl="0" w:tplc="D932F088">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D53E68"/>
    <w:multiLevelType w:val="hybridMultilevel"/>
    <w:tmpl w:val="D472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392725"/>
    <w:multiLevelType w:val="hybridMultilevel"/>
    <w:tmpl w:val="C1CA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FA"/>
    <w:rsid w:val="00006149"/>
    <w:rsid w:val="000B474E"/>
    <w:rsid w:val="001F3114"/>
    <w:rsid w:val="001F5BE2"/>
    <w:rsid w:val="00225355"/>
    <w:rsid w:val="00307503"/>
    <w:rsid w:val="00324616"/>
    <w:rsid w:val="003378AE"/>
    <w:rsid w:val="00387D09"/>
    <w:rsid w:val="00414DD4"/>
    <w:rsid w:val="004C0490"/>
    <w:rsid w:val="005474BF"/>
    <w:rsid w:val="00561FD4"/>
    <w:rsid w:val="005D08C8"/>
    <w:rsid w:val="005D3801"/>
    <w:rsid w:val="00662DD1"/>
    <w:rsid w:val="00693DA5"/>
    <w:rsid w:val="006B033F"/>
    <w:rsid w:val="006B0577"/>
    <w:rsid w:val="006F5912"/>
    <w:rsid w:val="007844B3"/>
    <w:rsid w:val="0090748B"/>
    <w:rsid w:val="009375E3"/>
    <w:rsid w:val="00C902DC"/>
    <w:rsid w:val="00CF38C3"/>
    <w:rsid w:val="00D37F7D"/>
    <w:rsid w:val="00D67189"/>
    <w:rsid w:val="00E813E4"/>
    <w:rsid w:val="00EE7AFA"/>
    <w:rsid w:val="00F36D79"/>
    <w:rsid w:val="00F425B8"/>
    <w:rsid w:val="00F4714B"/>
    <w:rsid w:val="00F5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EE7A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7AF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E7AFA"/>
    <w:rPr>
      <w:b/>
      <w:bCs/>
      <w:i/>
      <w:iCs/>
      <w:color w:val="4F81BD" w:themeColor="accent1"/>
    </w:rPr>
  </w:style>
  <w:style w:type="paragraph" w:styleId="ListParagraph">
    <w:name w:val="List Paragraph"/>
    <w:basedOn w:val="Normal"/>
    <w:uiPriority w:val="34"/>
    <w:qFormat/>
    <w:rsid w:val="00EE7AFA"/>
    <w:pPr>
      <w:ind w:left="720"/>
      <w:contextualSpacing/>
    </w:pPr>
  </w:style>
  <w:style w:type="character" w:styleId="CommentReference">
    <w:name w:val="annotation reference"/>
    <w:basedOn w:val="DefaultParagraphFont"/>
    <w:uiPriority w:val="99"/>
    <w:semiHidden/>
    <w:unhideWhenUsed/>
    <w:rsid w:val="00F54B0A"/>
    <w:rPr>
      <w:sz w:val="16"/>
      <w:szCs w:val="16"/>
    </w:rPr>
  </w:style>
  <w:style w:type="paragraph" w:styleId="CommentText">
    <w:name w:val="annotation text"/>
    <w:basedOn w:val="Normal"/>
    <w:link w:val="CommentTextChar"/>
    <w:uiPriority w:val="99"/>
    <w:unhideWhenUsed/>
    <w:rsid w:val="00F54B0A"/>
    <w:pPr>
      <w:spacing w:line="240" w:lineRule="auto"/>
    </w:pPr>
    <w:rPr>
      <w:sz w:val="20"/>
      <w:szCs w:val="20"/>
    </w:rPr>
  </w:style>
  <w:style w:type="character" w:customStyle="1" w:styleId="CommentTextChar">
    <w:name w:val="Comment Text Char"/>
    <w:basedOn w:val="DefaultParagraphFont"/>
    <w:link w:val="CommentText"/>
    <w:uiPriority w:val="99"/>
    <w:rsid w:val="00F54B0A"/>
    <w:rPr>
      <w:sz w:val="20"/>
      <w:szCs w:val="20"/>
    </w:rPr>
  </w:style>
  <w:style w:type="paragraph" w:styleId="CommentSubject">
    <w:name w:val="annotation subject"/>
    <w:basedOn w:val="CommentText"/>
    <w:next w:val="CommentText"/>
    <w:link w:val="CommentSubjectChar"/>
    <w:uiPriority w:val="99"/>
    <w:semiHidden/>
    <w:unhideWhenUsed/>
    <w:rsid w:val="00F54B0A"/>
    <w:rPr>
      <w:b/>
      <w:bCs/>
    </w:rPr>
  </w:style>
  <w:style w:type="character" w:customStyle="1" w:styleId="CommentSubjectChar">
    <w:name w:val="Comment Subject Char"/>
    <w:basedOn w:val="CommentTextChar"/>
    <w:link w:val="CommentSubject"/>
    <w:uiPriority w:val="99"/>
    <w:semiHidden/>
    <w:rsid w:val="00F54B0A"/>
    <w:rPr>
      <w:b/>
      <w:bCs/>
      <w:sz w:val="20"/>
      <w:szCs w:val="20"/>
    </w:rPr>
  </w:style>
  <w:style w:type="paragraph" w:styleId="BalloonText">
    <w:name w:val="Balloon Text"/>
    <w:basedOn w:val="Normal"/>
    <w:link w:val="BalloonTextChar"/>
    <w:uiPriority w:val="99"/>
    <w:semiHidden/>
    <w:unhideWhenUsed/>
    <w:rsid w:val="00F5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B0A"/>
    <w:rPr>
      <w:rFonts w:ascii="Tahoma" w:hAnsi="Tahoma" w:cs="Tahoma"/>
      <w:sz w:val="16"/>
      <w:szCs w:val="16"/>
    </w:rPr>
  </w:style>
  <w:style w:type="paragraph" w:styleId="Header">
    <w:name w:val="header"/>
    <w:basedOn w:val="Normal"/>
    <w:link w:val="HeaderChar"/>
    <w:uiPriority w:val="99"/>
    <w:unhideWhenUsed/>
    <w:rsid w:val="00225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55"/>
  </w:style>
  <w:style w:type="paragraph" w:styleId="Footer">
    <w:name w:val="footer"/>
    <w:basedOn w:val="Normal"/>
    <w:link w:val="FooterChar"/>
    <w:uiPriority w:val="99"/>
    <w:unhideWhenUsed/>
    <w:rsid w:val="00225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EE7A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E7AF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E7AFA"/>
    <w:rPr>
      <w:b/>
      <w:bCs/>
      <w:i/>
      <w:iCs/>
      <w:color w:val="4F81BD" w:themeColor="accent1"/>
    </w:rPr>
  </w:style>
  <w:style w:type="paragraph" w:styleId="ListParagraph">
    <w:name w:val="List Paragraph"/>
    <w:basedOn w:val="Normal"/>
    <w:uiPriority w:val="34"/>
    <w:qFormat/>
    <w:rsid w:val="00EE7AFA"/>
    <w:pPr>
      <w:ind w:left="720"/>
      <w:contextualSpacing/>
    </w:pPr>
  </w:style>
  <w:style w:type="character" w:styleId="CommentReference">
    <w:name w:val="annotation reference"/>
    <w:basedOn w:val="DefaultParagraphFont"/>
    <w:uiPriority w:val="99"/>
    <w:semiHidden/>
    <w:unhideWhenUsed/>
    <w:rsid w:val="00F54B0A"/>
    <w:rPr>
      <w:sz w:val="16"/>
      <w:szCs w:val="16"/>
    </w:rPr>
  </w:style>
  <w:style w:type="paragraph" w:styleId="CommentText">
    <w:name w:val="annotation text"/>
    <w:basedOn w:val="Normal"/>
    <w:link w:val="CommentTextChar"/>
    <w:uiPriority w:val="99"/>
    <w:unhideWhenUsed/>
    <w:rsid w:val="00F54B0A"/>
    <w:pPr>
      <w:spacing w:line="240" w:lineRule="auto"/>
    </w:pPr>
    <w:rPr>
      <w:sz w:val="20"/>
      <w:szCs w:val="20"/>
    </w:rPr>
  </w:style>
  <w:style w:type="character" w:customStyle="1" w:styleId="CommentTextChar">
    <w:name w:val="Comment Text Char"/>
    <w:basedOn w:val="DefaultParagraphFont"/>
    <w:link w:val="CommentText"/>
    <w:uiPriority w:val="99"/>
    <w:rsid w:val="00F54B0A"/>
    <w:rPr>
      <w:sz w:val="20"/>
      <w:szCs w:val="20"/>
    </w:rPr>
  </w:style>
  <w:style w:type="paragraph" w:styleId="CommentSubject">
    <w:name w:val="annotation subject"/>
    <w:basedOn w:val="CommentText"/>
    <w:next w:val="CommentText"/>
    <w:link w:val="CommentSubjectChar"/>
    <w:uiPriority w:val="99"/>
    <w:semiHidden/>
    <w:unhideWhenUsed/>
    <w:rsid w:val="00F54B0A"/>
    <w:rPr>
      <w:b/>
      <w:bCs/>
    </w:rPr>
  </w:style>
  <w:style w:type="character" w:customStyle="1" w:styleId="CommentSubjectChar">
    <w:name w:val="Comment Subject Char"/>
    <w:basedOn w:val="CommentTextChar"/>
    <w:link w:val="CommentSubject"/>
    <w:uiPriority w:val="99"/>
    <w:semiHidden/>
    <w:rsid w:val="00F54B0A"/>
    <w:rPr>
      <w:b/>
      <w:bCs/>
      <w:sz w:val="20"/>
      <w:szCs w:val="20"/>
    </w:rPr>
  </w:style>
  <w:style w:type="paragraph" w:styleId="BalloonText">
    <w:name w:val="Balloon Text"/>
    <w:basedOn w:val="Normal"/>
    <w:link w:val="BalloonTextChar"/>
    <w:uiPriority w:val="99"/>
    <w:semiHidden/>
    <w:unhideWhenUsed/>
    <w:rsid w:val="00F5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B0A"/>
    <w:rPr>
      <w:rFonts w:ascii="Tahoma" w:hAnsi="Tahoma" w:cs="Tahoma"/>
      <w:sz w:val="16"/>
      <w:szCs w:val="16"/>
    </w:rPr>
  </w:style>
  <w:style w:type="paragraph" w:styleId="Header">
    <w:name w:val="header"/>
    <w:basedOn w:val="Normal"/>
    <w:link w:val="HeaderChar"/>
    <w:uiPriority w:val="99"/>
    <w:unhideWhenUsed/>
    <w:rsid w:val="00225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55"/>
  </w:style>
  <w:style w:type="paragraph" w:styleId="Footer">
    <w:name w:val="footer"/>
    <w:basedOn w:val="Normal"/>
    <w:link w:val="FooterChar"/>
    <w:uiPriority w:val="99"/>
    <w:unhideWhenUsed/>
    <w:rsid w:val="00225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Solvberg</dc:creator>
  <cp:lastModifiedBy>Tina Solvberg</cp:lastModifiedBy>
  <cp:revision>2</cp:revision>
  <dcterms:created xsi:type="dcterms:W3CDTF">2014-06-11T17:13:00Z</dcterms:created>
  <dcterms:modified xsi:type="dcterms:W3CDTF">2014-06-11T17:13:00Z</dcterms:modified>
</cp:coreProperties>
</file>