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C1EB5" w:rsidRDefault="00000F68" w:rsidP="006C1EB5">
      <w:pPr>
        <w:rPr>
          <w:b/>
        </w:rPr>
      </w:pPr>
      <w:r w:rsidRPr="00000F68">
        <w:rPr>
          <w:b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138.6pt;margin-top:13.3pt;width:467.8pt;height:47.15pt;z-index:251661312;mso-height-percent:200;mso-height-percent:200;mso-width-relative:margin;mso-height-relative:margin">
            <v:textbox style="mso-next-textbox:#_x0000_s1029;mso-fit-shape-to-text:t">
              <w:txbxContent>
                <w:p w:rsidR="006C0739" w:rsidRPr="005D3C97" w:rsidRDefault="006C0739" w:rsidP="006C1EB5">
                  <w:pPr>
                    <w:shd w:val="clear" w:color="auto" w:fill="D9D9D9" w:themeFill="background1" w:themeFillShade="D9"/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5D3C97">
                    <w:rPr>
                      <w:rFonts w:ascii="Arial Black" w:hAnsi="Arial Black"/>
                      <w:sz w:val="36"/>
                      <w:szCs w:val="36"/>
                    </w:rPr>
                    <w:t>REPUBLIQUE DEMOCRATIQUE DU CONGO</w:t>
                  </w:r>
                </w:p>
              </w:txbxContent>
            </v:textbox>
          </v:shape>
        </w:pict>
      </w: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  <w:r w:rsidRPr="005D3C97">
        <w:rPr>
          <w:rFonts w:asciiTheme="majorHAnsi" w:hAnsiTheme="majorHAnsi"/>
          <w:b/>
          <w:i/>
        </w:rPr>
        <w:t>COORDIN</w:t>
      </w:r>
      <w:r w:rsidR="007C1E05">
        <w:rPr>
          <w:rFonts w:asciiTheme="majorHAnsi" w:hAnsiTheme="majorHAnsi"/>
          <w:b/>
          <w:i/>
        </w:rPr>
        <w:t>ATION NATIONALE  REDD</w:t>
      </w: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  <w:r w:rsidRPr="005D3C97">
        <w:rPr>
          <w:rFonts w:asciiTheme="majorHAnsi" w:hAnsiTheme="majorHAnsi"/>
          <w:b/>
          <w:i/>
        </w:rPr>
        <w:t>« CN REDD »</w:t>
      </w:r>
    </w:p>
    <w:p w:rsidR="006C1EB5" w:rsidRDefault="006C1EB5" w:rsidP="006C1EB5">
      <w:pPr>
        <w:jc w:val="center"/>
        <w:rPr>
          <w:rFonts w:asciiTheme="majorHAnsi" w:hAnsiTheme="majorHAnsi"/>
          <w:b/>
          <w:i/>
        </w:rPr>
      </w:pPr>
    </w:p>
    <w:p w:rsidR="006C1EB5" w:rsidRPr="005D3C97" w:rsidRDefault="006C1EB5" w:rsidP="006C1EB5">
      <w:pPr>
        <w:jc w:val="center"/>
        <w:rPr>
          <w:rFonts w:asciiTheme="majorHAnsi" w:hAnsiTheme="majorHAnsi"/>
          <w:b/>
          <w:i/>
          <w:sz w:val="48"/>
          <w:szCs w:val="48"/>
        </w:rPr>
      </w:pPr>
      <w:r w:rsidRPr="005D3C97">
        <w:rPr>
          <w:rFonts w:asciiTheme="majorHAnsi" w:hAnsiTheme="majorHAnsi"/>
          <w:b/>
          <w:i/>
          <w:sz w:val="48"/>
          <w:szCs w:val="48"/>
        </w:rPr>
        <w:t>Ct 14</w:t>
      </w: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000F68" w:rsidP="006C1EB5">
      <w:pPr>
        <w:pStyle w:val="ListParagraph"/>
        <w:ind w:left="426"/>
        <w:rPr>
          <w:b/>
        </w:rPr>
      </w:pPr>
      <w:r w:rsidRPr="00000F68">
        <w:rPr>
          <w:b/>
          <w:noProof/>
        </w:rPr>
        <w:pict>
          <v:shape id="_x0000_s1028" type="#_x0000_t202" style="position:absolute;left:0;text-align:left;margin-left:11.2pt;margin-top:8.35pt;width:716.65pt;height:51.3pt;z-index:251658240;mso-width-relative:margin;mso-height-relative:margin">
            <v:textbox style="mso-next-textbox:#_x0000_s1028">
              <w:txbxContent>
                <w:p w:rsidR="006C0739" w:rsidRPr="005D3C97" w:rsidRDefault="006C0739" w:rsidP="006C1EB5">
                  <w:pPr>
                    <w:shd w:val="clear" w:color="auto" w:fill="D9D9D9" w:themeFill="background1" w:themeFillShade="D9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5D3C97">
                    <w:rPr>
                      <w:rFonts w:ascii="Arial Black" w:hAnsi="Arial Black"/>
                      <w:sz w:val="28"/>
                      <w:szCs w:val="28"/>
                    </w:rPr>
                    <w:t>PROPOSITION DES PROGRAMMES SUR LES OPTIONS STRATEGIQUES REDD EN RAPPORT AVEC LA THEMATIQUE POLITIQUE GENRE ET ORGANISATION PAYSANNE ET LOCALE</w:t>
                  </w:r>
                </w:p>
              </w:txbxContent>
            </v:textbox>
          </v:shape>
        </w:pict>
      </w: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6C1EB5" w:rsidRPr="005D3C97" w:rsidRDefault="006C1EB5" w:rsidP="006C1EB5">
      <w:pPr>
        <w:rPr>
          <w:b/>
        </w:rPr>
      </w:pPr>
    </w:p>
    <w:p w:rsidR="006C1EB5" w:rsidRDefault="006C1EB5" w:rsidP="006C1EB5">
      <w:pPr>
        <w:pStyle w:val="ListParagraph"/>
        <w:ind w:left="426"/>
        <w:rPr>
          <w:b/>
        </w:rPr>
      </w:pPr>
    </w:p>
    <w:p w:rsidR="00194799" w:rsidRPr="006C1EB5" w:rsidRDefault="006C1EB5" w:rsidP="006C1EB5">
      <w:pPr>
        <w:jc w:val="center"/>
        <w:rPr>
          <w:b/>
          <w:sz w:val="28"/>
          <w:szCs w:val="28"/>
        </w:rPr>
      </w:pPr>
      <w:r w:rsidRPr="006C1EB5">
        <w:rPr>
          <w:b/>
          <w:sz w:val="28"/>
          <w:szCs w:val="28"/>
        </w:rPr>
        <w:t>Août 2012</w:t>
      </w:r>
      <w:r w:rsidR="00194799" w:rsidRPr="006C1EB5">
        <w:rPr>
          <w:b/>
          <w:sz w:val="28"/>
          <w:szCs w:val="28"/>
        </w:rPr>
        <w:br w:type="page"/>
      </w:r>
    </w:p>
    <w:tbl>
      <w:tblPr>
        <w:tblStyle w:val="TableGrid"/>
        <w:tblpPr w:leftFromText="141" w:rightFromText="141" w:vertAnchor="page" w:horzAnchor="margin" w:tblpXSpec="center" w:tblpY="1600"/>
        <w:tblW w:w="15276" w:type="dxa"/>
        <w:tblLayout w:type="fixed"/>
        <w:tblLook w:val="04A0"/>
      </w:tblPr>
      <w:tblGrid>
        <w:gridCol w:w="457"/>
        <w:gridCol w:w="1494"/>
        <w:gridCol w:w="1417"/>
        <w:gridCol w:w="4395"/>
        <w:gridCol w:w="1417"/>
        <w:gridCol w:w="1276"/>
        <w:gridCol w:w="1276"/>
        <w:gridCol w:w="3544"/>
      </w:tblGrid>
      <w:tr w:rsidR="00562616" w:rsidRPr="00D0051F">
        <w:trPr>
          <w:trHeight w:val="699"/>
        </w:trPr>
        <w:tc>
          <w:tcPr>
            <w:tcW w:w="457" w:type="dxa"/>
            <w:shd w:val="clear" w:color="auto" w:fill="D9D9D9" w:themeFill="background1" w:themeFillShade="D9"/>
          </w:tcPr>
          <w:p w:rsidR="003105DB" w:rsidRPr="00D0051F" w:rsidRDefault="006C1EB5" w:rsidP="00194799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:rsidR="00562616" w:rsidRDefault="00562616" w:rsidP="00194799">
            <w:pPr>
              <w:jc w:val="center"/>
              <w:rPr>
                <w:b/>
                <w:sz w:val="24"/>
                <w:szCs w:val="24"/>
              </w:rPr>
            </w:pPr>
          </w:p>
          <w:p w:rsidR="003105DB" w:rsidRPr="00D0051F" w:rsidRDefault="003105DB" w:rsidP="00194799">
            <w:pPr>
              <w:jc w:val="center"/>
              <w:rPr>
                <w:b/>
                <w:sz w:val="24"/>
                <w:szCs w:val="24"/>
              </w:rPr>
            </w:pPr>
            <w:r w:rsidRPr="00D0051F">
              <w:rPr>
                <w:b/>
                <w:sz w:val="24"/>
                <w:szCs w:val="24"/>
              </w:rPr>
              <w:t>AXE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105DB" w:rsidRPr="00D0051F" w:rsidRDefault="003105DB" w:rsidP="00194799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0051F">
              <w:rPr>
                <w:b/>
                <w:sz w:val="24"/>
                <w:szCs w:val="24"/>
              </w:rPr>
              <w:t>PHASES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3105DB" w:rsidRPr="00D0051F" w:rsidRDefault="003105DB" w:rsidP="00194799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0051F">
              <w:rPr>
                <w:b/>
                <w:sz w:val="24"/>
                <w:szCs w:val="24"/>
              </w:rPr>
              <w:t>ACTIVITES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105DB" w:rsidRPr="00D0051F" w:rsidRDefault="003105DB" w:rsidP="00194799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0051F">
              <w:rPr>
                <w:b/>
                <w:sz w:val="24"/>
                <w:szCs w:val="24"/>
              </w:rPr>
              <w:t>LIVRABLES ESSENTIELS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105DB" w:rsidRPr="00D0051F" w:rsidRDefault="006C0739" w:rsidP="006C0739">
            <w:pPr>
              <w:spacing w:before="2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Categorie</w:t>
            </w:r>
            <w:proofErr w:type="spellEnd"/>
            <w:r>
              <w:rPr>
                <w:b/>
                <w:sz w:val="24"/>
                <w:szCs w:val="24"/>
              </w:rPr>
              <w:t xml:space="preserve"> de budget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E3FA1" w:rsidRPr="00D0051F" w:rsidRDefault="003105DB" w:rsidP="00562616">
            <w:pPr>
              <w:spacing w:before="240"/>
              <w:ind w:left="-108"/>
              <w:jc w:val="center"/>
              <w:rPr>
                <w:b/>
                <w:sz w:val="24"/>
                <w:szCs w:val="24"/>
              </w:rPr>
            </w:pPr>
            <w:r w:rsidRPr="00D0051F">
              <w:rPr>
                <w:b/>
                <w:sz w:val="24"/>
                <w:szCs w:val="24"/>
              </w:rPr>
              <w:t>MONTANT</w:t>
            </w:r>
            <w:r w:rsidR="00CE3FA1">
              <w:rPr>
                <w:b/>
                <w:sz w:val="24"/>
                <w:szCs w:val="24"/>
              </w:rPr>
              <w:t>$ US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105DB" w:rsidRPr="00D0051F" w:rsidRDefault="006C0739" w:rsidP="00194799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Source de Fonds</w:t>
            </w:r>
          </w:p>
        </w:tc>
      </w:tr>
      <w:tr w:rsidR="00562616">
        <w:tc>
          <w:tcPr>
            <w:tcW w:w="457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  <w:r>
              <w:t>1</w:t>
            </w:r>
          </w:p>
        </w:tc>
        <w:tc>
          <w:tcPr>
            <w:tcW w:w="1494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  <w:r>
              <w:t>Collecte et partage des données des informations</w:t>
            </w:r>
          </w:p>
        </w:tc>
        <w:tc>
          <w:tcPr>
            <w:tcW w:w="1417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Pr="000A6E7A" w:rsidRDefault="00D0051F" w:rsidP="00194799">
            <w:pPr>
              <w:spacing w:before="240"/>
            </w:pPr>
            <w:r>
              <w:t>Collecte des données de base</w:t>
            </w:r>
          </w:p>
        </w:tc>
        <w:tc>
          <w:tcPr>
            <w:tcW w:w="4395" w:type="dxa"/>
          </w:tcPr>
          <w:p w:rsidR="00D0051F" w:rsidRDefault="00D0051F" w:rsidP="00194799">
            <w:pPr>
              <w:spacing w:before="240"/>
            </w:pPr>
            <w:r>
              <w:t>Travaux préparatoires</w:t>
            </w:r>
          </w:p>
        </w:tc>
        <w:tc>
          <w:tcPr>
            <w:tcW w:w="1417" w:type="dxa"/>
          </w:tcPr>
          <w:p w:rsidR="00D0051F" w:rsidRDefault="006A60C5" w:rsidP="00194799">
            <w:pPr>
              <w:spacing w:before="240"/>
            </w:pPr>
            <w:r>
              <w:t>Documents de</w:t>
            </w:r>
            <w:r w:rsidR="00CE3FA1">
              <w:t xml:space="preserve"> cadrage des travaux</w:t>
            </w:r>
          </w:p>
        </w:tc>
        <w:tc>
          <w:tcPr>
            <w:tcW w:w="1276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CE3FA1" w:rsidRDefault="00CE3FA1" w:rsidP="00194799">
            <w:pPr>
              <w:spacing w:before="240"/>
            </w:pPr>
          </w:p>
          <w:p w:rsidR="00CE3FA1" w:rsidRDefault="006C0739" w:rsidP="00194799">
            <w:pPr>
              <w:spacing w:before="240"/>
            </w:pPr>
            <w:r>
              <w:t>Personnel</w:t>
            </w:r>
          </w:p>
        </w:tc>
        <w:tc>
          <w:tcPr>
            <w:tcW w:w="1276" w:type="dxa"/>
            <w:vMerge w:val="restart"/>
          </w:tcPr>
          <w:p w:rsidR="00D0051F" w:rsidRDefault="00D0051F" w:rsidP="00562616">
            <w:pPr>
              <w:spacing w:before="240"/>
              <w:jc w:val="center"/>
            </w:pPr>
          </w:p>
          <w:p w:rsidR="00CE3FA1" w:rsidRDefault="00CE3FA1" w:rsidP="00403148">
            <w:pPr>
              <w:spacing w:before="240"/>
            </w:pPr>
          </w:p>
          <w:p w:rsidR="00CE3FA1" w:rsidRDefault="006C0739" w:rsidP="00562616">
            <w:pPr>
              <w:spacing w:before="240"/>
              <w:jc w:val="center"/>
            </w:pPr>
            <w:r>
              <w:t>4020</w:t>
            </w:r>
          </w:p>
        </w:tc>
        <w:tc>
          <w:tcPr>
            <w:tcW w:w="3544" w:type="dxa"/>
            <w:vMerge w:val="restart"/>
          </w:tcPr>
          <w:p w:rsidR="006C0739" w:rsidRDefault="006C0739" w:rsidP="00194799">
            <w:pPr>
              <w:spacing w:before="240"/>
            </w:pPr>
          </w:p>
          <w:p w:rsidR="006C0739" w:rsidRDefault="006C0739" w:rsidP="00194799">
            <w:pPr>
              <w:spacing w:before="240"/>
            </w:pPr>
          </w:p>
          <w:p w:rsidR="00D0051F" w:rsidRDefault="006C0739" w:rsidP="00194799">
            <w:pPr>
              <w:spacing w:before="240"/>
            </w:pPr>
            <w:r>
              <w:t>PNUD NEW YORK - 4.020</w:t>
            </w:r>
          </w:p>
        </w:tc>
      </w:tr>
      <w:tr w:rsidR="00562616">
        <w:tc>
          <w:tcPr>
            <w:tcW w:w="45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4395" w:type="dxa"/>
          </w:tcPr>
          <w:p w:rsidR="00403148" w:rsidRDefault="00D0051F" w:rsidP="00194799">
            <w:pPr>
              <w:spacing w:before="240"/>
            </w:pPr>
            <w:r>
              <w:t>Collecte des données disponibles directement par les membres de la CT</w:t>
            </w:r>
          </w:p>
          <w:p w:rsidR="00403148" w:rsidRDefault="00403148" w:rsidP="00194799"/>
        </w:tc>
        <w:tc>
          <w:tcPr>
            <w:tcW w:w="1417" w:type="dxa"/>
          </w:tcPr>
          <w:p w:rsidR="00CE3FA1" w:rsidRDefault="00CE3FA1" w:rsidP="00194799">
            <w:pPr>
              <w:spacing w:before="240"/>
            </w:pPr>
            <w:r>
              <w:t>Banque des données</w:t>
            </w:r>
          </w:p>
        </w:tc>
        <w:tc>
          <w:tcPr>
            <w:tcW w:w="1276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D0051F" w:rsidRDefault="00D0051F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D0051F" w:rsidRDefault="00D0051F" w:rsidP="00194799">
            <w:pPr>
              <w:spacing w:before="240"/>
            </w:pPr>
          </w:p>
        </w:tc>
      </w:tr>
      <w:tr w:rsidR="00562616">
        <w:tc>
          <w:tcPr>
            <w:tcW w:w="45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4395" w:type="dxa"/>
          </w:tcPr>
          <w:p w:rsidR="00D0051F" w:rsidRPr="000A6E7A" w:rsidRDefault="00D0051F" w:rsidP="00194799">
            <w:pPr>
              <w:spacing w:before="240"/>
            </w:pPr>
            <w:r>
              <w:t>Complément de la bibliographie et revue approfondie des données par un consultant, production d’un état des lieux de synthèse</w:t>
            </w:r>
          </w:p>
        </w:tc>
        <w:tc>
          <w:tcPr>
            <w:tcW w:w="1417" w:type="dxa"/>
          </w:tcPr>
          <w:p w:rsidR="00D0051F" w:rsidRDefault="00CE3FA1" w:rsidP="00194799">
            <w:pPr>
              <w:spacing w:before="240"/>
            </w:pPr>
            <w:r>
              <w:t>Liste de la revue  bibliographique</w:t>
            </w:r>
          </w:p>
        </w:tc>
        <w:tc>
          <w:tcPr>
            <w:tcW w:w="1276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D0051F" w:rsidRDefault="00D0051F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D0051F" w:rsidRDefault="00D0051F" w:rsidP="00194799">
            <w:pPr>
              <w:spacing w:before="240"/>
            </w:pPr>
          </w:p>
        </w:tc>
      </w:tr>
      <w:tr w:rsidR="00562616">
        <w:tc>
          <w:tcPr>
            <w:tcW w:w="45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4395" w:type="dxa"/>
          </w:tcPr>
          <w:p w:rsidR="00403148" w:rsidRDefault="00D0051F" w:rsidP="00194799">
            <w:pPr>
              <w:spacing w:before="240"/>
            </w:pPr>
            <w:r>
              <w:t>Mise à disposition des données et du rapport</w:t>
            </w:r>
          </w:p>
          <w:p w:rsidR="00403148" w:rsidRPr="000A6E7A" w:rsidRDefault="00403148" w:rsidP="00194799"/>
        </w:tc>
        <w:tc>
          <w:tcPr>
            <w:tcW w:w="1417" w:type="dxa"/>
          </w:tcPr>
          <w:p w:rsidR="00D0051F" w:rsidRDefault="00D0051F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D0051F" w:rsidRDefault="00D0051F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D0051F" w:rsidRDefault="00D0051F" w:rsidP="00194799">
            <w:pPr>
              <w:spacing w:before="240"/>
            </w:pPr>
          </w:p>
        </w:tc>
      </w:tr>
      <w:tr w:rsidR="00562616">
        <w:tc>
          <w:tcPr>
            <w:tcW w:w="457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  <w:r>
              <w:t>2</w:t>
            </w:r>
          </w:p>
        </w:tc>
        <w:tc>
          <w:tcPr>
            <w:tcW w:w="1494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  <w:r>
              <w:t>Formulation des options REDD</w:t>
            </w:r>
          </w:p>
        </w:tc>
        <w:tc>
          <w:tcPr>
            <w:tcW w:w="1417" w:type="dxa"/>
            <w:vMerge w:val="restart"/>
          </w:tcPr>
          <w:p w:rsidR="00D0051F" w:rsidRDefault="00D0051F" w:rsidP="00194799">
            <w:pPr>
              <w:spacing w:before="240"/>
            </w:pPr>
          </w:p>
          <w:p w:rsidR="00D0051F" w:rsidRDefault="00D0051F" w:rsidP="00194799">
            <w:pPr>
              <w:spacing w:before="240"/>
            </w:pPr>
          </w:p>
          <w:p w:rsidR="00D0051F" w:rsidRPr="000A6E7A" w:rsidRDefault="00D0051F" w:rsidP="00194799">
            <w:pPr>
              <w:spacing w:before="240"/>
            </w:pPr>
            <w:r>
              <w:t>Formulation des options REDD</w:t>
            </w:r>
          </w:p>
          <w:p w:rsidR="00D0051F" w:rsidRPr="000A6E7A" w:rsidRDefault="00D0051F" w:rsidP="00194799">
            <w:pPr>
              <w:spacing w:before="240"/>
            </w:pPr>
          </w:p>
        </w:tc>
        <w:tc>
          <w:tcPr>
            <w:tcW w:w="4395" w:type="dxa"/>
          </w:tcPr>
          <w:p w:rsidR="00D0051F" w:rsidRPr="005D5CA4" w:rsidRDefault="00D0051F" w:rsidP="00194799">
            <w:pPr>
              <w:spacing w:before="240" w:after="200" w:line="276" w:lineRule="auto"/>
              <w:rPr>
                <w:sz w:val="24"/>
                <w:szCs w:val="24"/>
              </w:rPr>
            </w:pPr>
            <w:r w:rsidRPr="00DC4385">
              <w:rPr>
                <w:sz w:val="24"/>
                <w:szCs w:val="24"/>
              </w:rPr>
              <w:t xml:space="preserve">Atelier de mise à niveau des membres de la CT </w:t>
            </w:r>
            <w:r w:rsidR="006A60C5" w:rsidRPr="00DC4385">
              <w:rPr>
                <w:sz w:val="24"/>
                <w:szCs w:val="24"/>
              </w:rPr>
              <w:t>(avec</w:t>
            </w:r>
            <w:r w:rsidRPr="00DC4385">
              <w:rPr>
                <w:sz w:val="24"/>
                <w:szCs w:val="24"/>
              </w:rPr>
              <w:t xml:space="preserve"> intervention d’experts et présentation de la synthèse du consultant)</w:t>
            </w:r>
          </w:p>
        </w:tc>
        <w:tc>
          <w:tcPr>
            <w:tcW w:w="1417" w:type="dxa"/>
          </w:tcPr>
          <w:p w:rsidR="00D0051F" w:rsidRDefault="00562616" w:rsidP="00194799">
            <w:pPr>
              <w:spacing w:before="240"/>
            </w:pPr>
            <w:r>
              <w:t>Rapport de la mise à niveau</w:t>
            </w:r>
          </w:p>
        </w:tc>
        <w:tc>
          <w:tcPr>
            <w:tcW w:w="1276" w:type="dxa"/>
          </w:tcPr>
          <w:p w:rsidR="00D0051F" w:rsidRDefault="006C0739" w:rsidP="00194799">
            <w:pPr>
              <w:spacing w:before="240"/>
            </w:pPr>
            <w:r>
              <w:t>Atelier/Formation</w:t>
            </w:r>
          </w:p>
        </w:tc>
        <w:tc>
          <w:tcPr>
            <w:tcW w:w="1276" w:type="dxa"/>
          </w:tcPr>
          <w:p w:rsidR="00D0051F" w:rsidRDefault="006C0739" w:rsidP="00562616">
            <w:pPr>
              <w:spacing w:before="240"/>
              <w:jc w:val="center"/>
            </w:pPr>
            <w:r>
              <w:t>1890</w:t>
            </w:r>
          </w:p>
        </w:tc>
        <w:tc>
          <w:tcPr>
            <w:tcW w:w="3544" w:type="dxa"/>
          </w:tcPr>
          <w:p w:rsidR="00D0051F" w:rsidRDefault="006C0739" w:rsidP="00194799">
            <w:pPr>
              <w:spacing w:before="240"/>
            </w:pPr>
            <w:r>
              <w:t>PNUD NORVEGE - 1.890</w:t>
            </w:r>
          </w:p>
        </w:tc>
      </w:tr>
      <w:tr w:rsidR="00562616">
        <w:tc>
          <w:tcPr>
            <w:tcW w:w="45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D0051F" w:rsidRDefault="00D0051F" w:rsidP="00194799">
            <w:pPr>
              <w:spacing w:before="240"/>
            </w:pPr>
          </w:p>
        </w:tc>
        <w:tc>
          <w:tcPr>
            <w:tcW w:w="4395" w:type="dxa"/>
          </w:tcPr>
          <w:p w:rsidR="00D0051F" w:rsidRPr="005D5CA4" w:rsidRDefault="00D0051F" w:rsidP="00194799">
            <w:pPr>
              <w:spacing w:before="240" w:after="200" w:line="276" w:lineRule="auto"/>
              <w:rPr>
                <w:sz w:val="24"/>
                <w:szCs w:val="24"/>
              </w:rPr>
            </w:pPr>
            <w:r w:rsidRPr="00DC4385">
              <w:rPr>
                <w:sz w:val="24"/>
                <w:szCs w:val="24"/>
              </w:rPr>
              <w:t xml:space="preserve">Atelier de formulation sur base des éléments disponibles </w:t>
            </w:r>
            <w:r w:rsidR="006A60C5" w:rsidRPr="00DC4385">
              <w:rPr>
                <w:sz w:val="24"/>
                <w:szCs w:val="24"/>
              </w:rPr>
              <w:t>(propositions</w:t>
            </w:r>
            <w:r w:rsidRPr="00DC4385">
              <w:rPr>
                <w:sz w:val="24"/>
                <w:szCs w:val="24"/>
              </w:rPr>
              <w:t xml:space="preserve"> programmatiques V0</w:t>
            </w:r>
          </w:p>
        </w:tc>
        <w:tc>
          <w:tcPr>
            <w:tcW w:w="1417" w:type="dxa"/>
          </w:tcPr>
          <w:p w:rsidR="00D0051F" w:rsidRDefault="00562616" w:rsidP="00194799">
            <w:pPr>
              <w:spacing w:before="240"/>
            </w:pPr>
            <w:r>
              <w:t>Document de formulation des propositions</w:t>
            </w:r>
          </w:p>
        </w:tc>
        <w:tc>
          <w:tcPr>
            <w:tcW w:w="1276" w:type="dxa"/>
          </w:tcPr>
          <w:p w:rsidR="00D0051F" w:rsidRDefault="006C0739" w:rsidP="00194799">
            <w:pPr>
              <w:spacing w:before="240"/>
            </w:pPr>
            <w:r>
              <w:t>Atelier/Formation</w:t>
            </w:r>
          </w:p>
        </w:tc>
        <w:tc>
          <w:tcPr>
            <w:tcW w:w="1276" w:type="dxa"/>
          </w:tcPr>
          <w:p w:rsidR="00D0051F" w:rsidRDefault="006C0739" w:rsidP="00562616">
            <w:pPr>
              <w:spacing w:before="240"/>
              <w:jc w:val="center"/>
            </w:pPr>
            <w:r>
              <w:t>2.710</w:t>
            </w:r>
          </w:p>
          <w:p w:rsidR="00562616" w:rsidRDefault="00562616" w:rsidP="00562616">
            <w:pPr>
              <w:spacing w:before="240"/>
              <w:jc w:val="center"/>
            </w:pPr>
          </w:p>
        </w:tc>
        <w:tc>
          <w:tcPr>
            <w:tcW w:w="3544" w:type="dxa"/>
          </w:tcPr>
          <w:p w:rsidR="00D0051F" w:rsidRDefault="006C0739" w:rsidP="00194799">
            <w:pPr>
              <w:spacing w:before="240"/>
            </w:pPr>
            <w:r>
              <w:t>PNUD NEW YORK - 2.710</w:t>
            </w:r>
          </w:p>
        </w:tc>
      </w:tr>
      <w:tr w:rsidR="00396739">
        <w:tc>
          <w:tcPr>
            <w:tcW w:w="45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17" w:type="dxa"/>
            <w:vMerge w:val="restart"/>
          </w:tcPr>
          <w:p w:rsidR="00396739" w:rsidRDefault="00396739" w:rsidP="00194799">
            <w:pPr>
              <w:spacing w:before="240"/>
            </w:pPr>
          </w:p>
          <w:p w:rsidR="00396739" w:rsidRDefault="00396739" w:rsidP="00194799">
            <w:pPr>
              <w:spacing w:before="240"/>
            </w:pPr>
          </w:p>
          <w:p w:rsidR="00396739" w:rsidRPr="000A6E7A" w:rsidRDefault="00396739" w:rsidP="00194799">
            <w:pPr>
              <w:spacing w:before="240"/>
            </w:pPr>
            <w:r>
              <w:t>Collecte des données spécifiques</w:t>
            </w:r>
          </w:p>
        </w:tc>
        <w:tc>
          <w:tcPr>
            <w:tcW w:w="4395" w:type="dxa"/>
          </w:tcPr>
          <w:p w:rsidR="00396739" w:rsidRPr="005D5CA4" w:rsidRDefault="00396739" w:rsidP="00194799">
            <w:pPr>
              <w:spacing w:before="240"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Recrutement d’un facilitateur pour préparer les missions</w:t>
            </w:r>
          </w:p>
        </w:tc>
        <w:tc>
          <w:tcPr>
            <w:tcW w:w="1417" w:type="dxa"/>
          </w:tcPr>
          <w:p w:rsidR="00396739" w:rsidRDefault="00396739" w:rsidP="00CD2B49"/>
          <w:p w:rsidR="00396739" w:rsidRDefault="00396739" w:rsidP="00CD2B49">
            <w:r>
              <w:t>TDR de recrutement</w:t>
            </w:r>
          </w:p>
        </w:tc>
        <w:tc>
          <w:tcPr>
            <w:tcW w:w="1276" w:type="dxa"/>
            <w:vMerge w:val="restart"/>
          </w:tcPr>
          <w:p w:rsidR="00396739" w:rsidRDefault="006C0739" w:rsidP="00CD2B49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Personnel (staff)</w:t>
            </w:r>
          </w:p>
          <w:p w:rsidR="00396739" w:rsidRDefault="00396739" w:rsidP="00CD2B49">
            <w:pPr>
              <w:spacing w:before="240"/>
              <w:rPr>
                <w:lang w:val="en-US"/>
              </w:rPr>
            </w:pPr>
          </w:p>
          <w:p w:rsidR="00396739" w:rsidRPr="00396739" w:rsidRDefault="00396739" w:rsidP="00CD2B49">
            <w:pPr>
              <w:spacing w:before="240"/>
              <w:rPr>
                <w:lang w:val="en-US"/>
              </w:rPr>
            </w:pPr>
          </w:p>
        </w:tc>
        <w:tc>
          <w:tcPr>
            <w:tcW w:w="1276" w:type="dxa"/>
          </w:tcPr>
          <w:p w:rsidR="00396739" w:rsidRDefault="00396739" w:rsidP="00562616">
            <w:pPr>
              <w:spacing w:before="240"/>
              <w:jc w:val="center"/>
            </w:pPr>
            <w:r>
              <w:t>2.000</w:t>
            </w:r>
          </w:p>
        </w:tc>
        <w:tc>
          <w:tcPr>
            <w:tcW w:w="3544" w:type="dxa"/>
            <w:vMerge w:val="restart"/>
          </w:tcPr>
          <w:p w:rsidR="00396739" w:rsidRDefault="00396739" w:rsidP="00194799">
            <w:pPr>
              <w:spacing w:before="240"/>
            </w:pPr>
          </w:p>
          <w:p w:rsidR="00396739" w:rsidRDefault="006C0739" w:rsidP="00194799">
            <w:pPr>
              <w:spacing w:before="240"/>
            </w:pPr>
            <w:r w:rsidRPr="00F45470">
              <w:rPr>
                <w:lang w:val="en-US"/>
              </w:rPr>
              <w:t>PNUD NEW YORK et PNUD NORV</w:t>
            </w:r>
          </w:p>
          <w:p w:rsidR="00396739" w:rsidRDefault="00396739" w:rsidP="00194799">
            <w:pPr>
              <w:spacing w:before="240"/>
            </w:pPr>
          </w:p>
          <w:p w:rsidR="00396739" w:rsidRDefault="00396739" w:rsidP="00CD2B49">
            <w:pPr>
              <w:spacing w:before="240"/>
            </w:pPr>
            <w:r>
              <w:t xml:space="preserve">Les deux bailleurs de fonds vont se concerter </w:t>
            </w:r>
            <w:r w:rsidR="00403148">
              <w:t xml:space="preserve">avec la CN REDD </w:t>
            </w:r>
            <w:r>
              <w:t>pour financer cette phase soit à haute</w:t>
            </w:r>
            <w:r w:rsidR="00403148">
              <w:t>ur</w:t>
            </w:r>
            <w:r>
              <w:t xml:space="preserve"> respectivement de </w:t>
            </w:r>
            <w:r w:rsidR="006A60C5">
              <w:t>11.620 $</w:t>
            </w:r>
            <w:r>
              <w:t xml:space="preserve"> pour PUND NORVEGE </w:t>
            </w:r>
            <w:r w:rsidR="006A60C5">
              <w:t>et 18.380</w:t>
            </w:r>
            <w:r>
              <w:t xml:space="preserve"> $ pour PNUD NEW YORK</w:t>
            </w:r>
          </w:p>
        </w:tc>
      </w:tr>
      <w:tr w:rsidR="00396739">
        <w:tc>
          <w:tcPr>
            <w:tcW w:w="45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4395" w:type="dxa"/>
          </w:tcPr>
          <w:p w:rsidR="00396739" w:rsidRPr="005D5CA4" w:rsidRDefault="006A60C5" w:rsidP="00403148">
            <w:pPr>
              <w:spacing w:before="24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Approfondissement des</w:t>
            </w:r>
            <w:r w:rsidR="00396739">
              <w:rPr>
                <w:sz w:val="24"/>
                <w:szCs w:val="24"/>
              </w:rPr>
              <w:t xml:space="preserve"> besoins d’information et collecte des données sur les expériences ciblées (hypothèse de 3 missions nationales et 2 missions régionales</w:t>
            </w:r>
          </w:p>
        </w:tc>
        <w:tc>
          <w:tcPr>
            <w:tcW w:w="1417" w:type="dxa"/>
          </w:tcPr>
          <w:p w:rsidR="00396739" w:rsidRDefault="00396739" w:rsidP="00CD2B49">
            <w:r>
              <w:t>Rapport de cadrage de l’expert</w:t>
            </w:r>
          </w:p>
        </w:tc>
        <w:tc>
          <w:tcPr>
            <w:tcW w:w="1276" w:type="dxa"/>
            <w:vMerge/>
          </w:tcPr>
          <w:p w:rsidR="00396739" w:rsidRPr="00396739" w:rsidRDefault="00396739" w:rsidP="00194799">
            <w:pPr>
              <w:spacing w:before="240"/>
            </w:pPr>
          </w:p>
        </w:tc>
        <w:tc>
          <w:tcPr>
            <w:tcW w:w="1276" w:type="dxa"/>
          </w:tcPr>
          <w:p w:rsidR="00396739" w:rsidRDefault="00396739" w:rsidP="00562616">
            <w:pPr>
              <w:spacing w:before="240"/>
              <w:jc w:val="center"/>
            </w:pPr>
            <w:r>
              <w:t>0</w:t>
            </w:r>
          </w:p>
        </w:tc>
        <w:tc>
          <w:tcPr>
            <w:tcW w:w="3544" w:type="dxa"/>
            <w:vMerge/>
          </w:tcPr>
          <w:p w:rsidR="00396739" w:rsidRDefault="00396739" w:rsidP="00194799">
            <w:pPr>
              <w:spacing w:before="240"/>
            </w:pPr>
          </w:p>
        </w:tc>
      </w:tr>
      <w:tr w:rsidR="00396739">
        <w:tc>
          <w:tcPr>
            <w:tcW w:w="45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4395" w:type="dxa"/>
          </w:tcPr>
          <w:p w:rsidR="00396739" w:rsidRPr="005D5CA4" w:rsidRDefault="00396739" w:rsidP="00194799">
            <w:pPr>
              <w:spacing w:before="240"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Opérationnalisation du plan de collecte de données spécifiques pour les 5 missions</w:t>
            </w:r>
          </w:p>
        </w:tc>
        <w:tc>
          <w:tcPr>
            <w:tcW w:w="1417" w:type="dxa"/>
          </w:tcPr>
          <w:p w:rsidR="00396739" w:rsidRDefault="00396739" w:rsidP="00112ACD">
            <w:pPr>
              <w:spacing w:before="240"/>
            </w:pPr>
            <w:r>
              <w:t>TDR des différentes missions</w:t>
            </w:r>
          </w:p>
        </w:tc>
        <w:tc>
          <w:tcPr>
            <w:tcW w:w="1276" w:type="dxa"/>
          </w:tcPr>
          <w:p w:rsidR="00396739" w:rsidRDefault="00396739" w:rsidP="00194799">
            <w:pPr>
              <w:spacing w:before="240"/>
            </w:pPr>
          </w:p>
        </w:tc>
        <w:tc>
          <w:tcPr>
            <w:tcW w:w="1276" w:type="dxa"/>
          </w:tcPr>
          <w:p w:rsidR="00396739" w:rsidRDefault="00396739" w:rsidP="00562616">
            <w:pPr>
              <w:spacing w:before="240"/>
              <w:jc w:val="center"/>
            </w:pPr>
            <w:r>
              <w:t>0</w:t>
            </w:r>
          </w:p>
        </w:tc>
        <w:tc>
          <w:tcPr>
            <w:tcW w:w="3544" w:type="dxa"/>
            <w:vMerge/>
          </w:tcPr>
          <w:p w:rsidR="00396739" w:rsidRDefault="00396739" w:rsidP="00194799">
            <w:pPr>
              <w:spacing w:before="240"/>
            </w:pPr>
          </w:p>
        </w:tc>
      </w:tr>
      <w:tr w:rsidR="00396739">
        <w:tc>
          <w:tcPr>
            <w:tcW w:w="45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4395" w:type="dxa"/>
          </w:tcPr>
          <w:p w:rsidR="00396739" w:rsidRPr="005D5CA4" w:rsidRDefault="00396739" w:rsidP="00403148">
            <w:pPr>
              <w:spacing w:before="24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Exécution des missions</w:t>
            </w:r>
          </w:p>
        </w:tc>
        <w:tc>
          <w:tcPr>
            <w:tcW w:w="1417" w:type="dxa"/>
          </w:tcPr>
          <w:p w:rsidR="00396739" w:rsidRDefault="00396739" w:rsidP="00194799">
            <w:pPr>
              <w:spacing w:before="240"/>
            </w:pPr>
            <w:r>
              <w:t>Rapport de différentes missions</w:t>
            </w:r>
          </w:p>
        </w:tc>
        <w:tc>
          <w:tcPr>
            <w:tcW w:w="1276" w:type="dxa"/>
          </w:tcPr>
          <w:p w:rsidR="00396739" w:rsidRDefault="006C0739" w:rsidP="006C0739">
            <w:pPr>
              <w:spacing w:before="240"/>
            </w:pPr>
            <w:r>
              <w:t>Personnel (consultant et voyages)</w:t>
            </w:r>
          </w:p>
        </w:tc>
        <w:tc>
          <w:tcPr>
            <w:tcW w:w="1276" w:type="dxa"/>
          </w:tcPr>
          <w:p w:rsidR="00396739" w:rsidRDefault="00396739" w:rsidP="00562616">
            <w:pPr>
              <w:spacing w:before="240"/>
              <w:jc w:val="center"/>
            </w:pPr>
            <w:r>
              <w:t>28.000</w:t>
            </w:r>
          </w:p>
        </w:tc>
        <w:tc>
          <w:tcPr>
            <w:tcW w:w="3544" w:type="dxa"/>
            <w:vMerge/>
          </w:tcPr>
          <w:p w:rsidR="00396739" w:rsidRDefault="00396739" w:rsidP="00194799">
            <w:pPr>
              <w:spacing w:before="240"/>
            </w:pPr>
          </w:p>
        </w:tc>
      </w:tr>
      <w:tr w:rsidR="00396739">
        <w:tc>
          <w:tcPr>
            <w:tcW w:w="45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396739" w:rsidRDefault="00396739" w:rsidP="00194799">
            <w:pPr>
              <w:spacing w:before="240"/>
            </w:pPr>
          </w:p>
        </w:tc>
        <w:tc>
          <w:tcPr>
            <w:tcW w:w="4395" w:type="dxa"/>
          </w:tcPr>
          <w:p w:rsidR="00396739" w:rsidRPr="005D5CA4" w:rsidRDefault="00396739" w:rsidP="00194799">
            <w:pPr>
              <w:spacing w:before="240"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 des enseignements de chaque mission selon la trame de rapport final de la CT</w:t>
            </w:r>
          </w:p>
        </w:tc>
        <w:tc>
          <w:tcPr>
            <w:tcW w:w="1417" w:type="dxa"/>
          </w:tcPr>
          <w:p w:rsidR="00396739" w:rsidRDefault="00396739" w:rsidP="00194799">
            <w:pPr>
              <w:spacing w:before="240"/>
            </w:pPr>
            <w:r>
              <w:t>Rapport des ateliers</w:t>
            </w:r>
          </w:p>
          <w:p w:rsidR="00396739" w:rsidRPr="00112ACD" w:rsidRDefault="00396739" w:rsidP="00112ACD">
            <w:pPr>
              <w:jc w:val="center"/>
            </w:pPr>
          </w:p>
        </w:tc>
        <w:tc>
          <w:tcPr>
            <w:tcW w:w="1276" w:type="dxa"/>
          </w:tcPr>
          <w:p w:rsidR="00396739" w:rsidRDefault="00396739" w:rsidP="006C0739">
            <w:pPr>
              <w:spacing w:before="240"/>
            </w:pPr>
          </w:p>
        </w:tc>
        <w:tc>
          <w:tcPr>
            <w:tcW w:w="1276" w:type="dxa"/>
          </w:tcPr>
          <w:p w:rsidR="00396739" w:rsidRDefault="00396739" w:rsidP="00562616">
            <w:pPr>
              <w:spacing w:before="240"/>
              <w:jc w:val="center"/>
            </w:pPr>
            <w:r>
              <w:t>0</w:t>
            </w:r>
          </w:p>
        </w:tc>
        <w:tc>
          <w:tcPr>
            <w:tcW w:w="3544" w:type="dxa"/>
            <w:vMerge/>
          </w:tcPr>
          <w:p w:rsidR="00396739" w:rsidRDefault="00396739" w:rsidP="00194799">
            <w:pPr>
              <w:spacing w:before="240"/>
            </w:pPr>
          </w:p>
        </w:tc>
      </w:tr>
      <w:tr w:rsidR="00C70C28">
        <w:tc>
          <w:tcPr>
            <w:tcW w:w="457" w:type="dxa"/>
            <w:vMerge w:val="restart"/>
          </w:tcPr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  <w:r>
              <w:t>3</w:t>
            </w:r>
          </w:p>
        </w:tc>
        <w:tc>
          <w:tcPr>
            <w:tcW w:w="1494" w:type="dxa"/>
            <w:vMerge w:val="restart"/>
          </w:tcPr>
          <w:p w:rsidR="00C70C28" w:rsidRDefault="00C70C28" w:rsidP="00C70C28"/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</w:p>
          <w:p w:rsidR="00C70C28" w:rsidRDefault="00C70C28" w:rsidP="00C70C28">
            <w:pPr>
              <w:spacing w:before="240"/>
            </w:pPr>
            <w:r>
              <w:t>Préparation des propositions de programmes pour les options REDD</w:t>
            </w:r>
          </w:p>
        </w:tc>
        <w:tc>
          <w:tcPr>
            <w:tcW w:w="1417" w:type="dxa"/>
            <w:vMerge w:val="restart"/>
          </w:tcPr>
          <w:p w:rsidR="00C70C28" w:rsidRPr="000A6E7A" w:rsidRDefault="00C70C28" w:rsidP="00C70C28">
            <w:pPr>
              <w:spacing w:before="240"/>
            </w:pPr>
            <w:r>
              <w:t>Formulation des propositions de programmes</w:t>
            </w:r>
          </w:p>
        </w:tc>
        <w:tc>
          <w:tcPr>
            <w:tcW w:w="4395" w:type="dxa"/>
          </w:tcPr>
          <w:p w:rsidR="00C70C28" w:rsidRDefault="00C70C28" w:rsidP="00C70C2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Atelier de présentation du rapport préliminaire et  collecte des commentaires</w:t>
            </w:r>
          </w:p>
          <w:p w:rsidR="00403148" w:rsidRDefault="00403148" w:rsidP="00C70C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70C28" w:rsidRDefault="007C3C89" w:rsidP="00C70C28">
            <w:pPr>
              <w:spacing w:before="240"/>
            </w:pPr>
            <w:r>
              <w:t>Rapport de l’atelier</w:t>
            </w:r>
          </w:p>
        </w:tc>
        <w:tc>
          <w:tcPr>
            <w:tcW w:w="1276" w:type="dxa"/>
            <w:vMerge w:val="restart"/>
          </w:tcPr>
          <w:p w:rsidR="00C70C28" w:rsidRDefault="00AA62F6" w:rsidP="00C70C28">
            <w:pPr>
              <w:spacing w:before="240"/>
            </w:pPr>
            <w:r>
              <w:t>Atelier/formation</w:t>
            </w:r>
          </w:p>
          <w:p w:rsidR="00C70C28" w:rsidRDefault="00C70C28" w:rsidP="00C70C28">
            <w:pPr>
              <w:spacing w:before="240"/>
            </w:pPr>
          </w:p>
        </w:tc>
        <w:tc>
          <w:tcPr>
            <w:tcW w:w="1276" w:type="dxa"/>
            <w:vMerge w:val="restart"/>
          </w:tcPr>
          <w:p w:rsidR="00C70C28" w:rsidRDefault="00C70C28" w:rsidP="00C70C28">
            <w:pPr>
              <w:spacing w:before="240"/>
            </w:pPr>
          </w:p>
          <w:p w:rsidR="00C70C28" w:rsidRDefault="005C158E" w:rsidP="00C70C28">
            <w:pPr>
              <w:spacing w:before="240"/>
              <w:jc w:val="center"/>
            </w:pPr>
            <w:r>
              <w:t>2990</w:t>
            </w:r>
          </w:p>
        </w:tc>
        <w:tc>
          <w:tcPr>
            <w:tcW w:w="3544" w:type="dxa"/>
            <w:vMerge w:val="restart"/>
          </w:tcPr>
          <w:p w:rsidR="006C0739" w:rsidRDefault="006C0739" w:rsidP="00C70C28">
            <w:pPr>
              <w:spacing w:before="240"/>
            </w:pPr>
          </w:p>
          <w:p w:rsidR="00C70C28" w:rsidRDefault="006C0739" w:rsidP="00C70C28">
            <w:pPr>
              <w:spacing w:before="240"/>
            </w:pPr>
            <w:r w:rsidRPr="00F45470">
              <w:rPr>
                <w:lang w:val="en-US"/>
              </w:rPr>
              <w:t>PNUD NORV</w:t>
            </w:r>
            <w:r>
              <w:rPr>
                <w:lang w:val="en-US"/>
              </w:rPr>
              <w:t xml:space="preserve">EGE - </w:t>
            </w:r>
            <w:r>
              <w:t>2.990</w:t>
            </w:r>
          </w:p>
        </w:tc>
      </w:tr>
      <w:tr w:rsidR="00C70C28">
        <w:tc>
          <w:tcPr>
            <w:tcW w:w="45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4395" w:type="dxa"/>
          </w:tcPr>
          <w:p w:rsidR="00C70C28" w:rsidRDefault="00C70C28" w:rsidP="00194799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Rédaction du rapport V2 par un comité restreint de rédaction</w:t>
            </w:r>
          </w:p>
          <w:p w:rsidR="00403148" w:rsidRDefault="00403148" w:rsidP="0019479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70C28" w:rsidRDefault="006A60C5" w:rsidP="00194799">
            <w:pPr>
              <w:spacing w:before="240"/>
            </w:pPr>
            <w:r>
              <w:t>Rapport V2</w:t>
            </w:r>
          </w:p>
        </w:tc>
        <w:tc>
          <w:tcPr>
            <w:tcW w:w="1276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C70C28" w:rsidRDefault="00C70C28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C70C28" w:rsidRDefault="00C70C28" w:rsidP="00194799">
            <w:pPr>
              <w:spacing w:before="240"/>
            </w:pPr>
          </w:p>
        </w:tc>
      </w:tr>
      <w:tr w:rsidR="00C70C28">
        <w:tc>
          <w:tcPr>
            <w:tcW w:w="45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17" w:type="dxa"/>
            <w:vMerge w:val="restart"/>
          </w:tcPr>
          <w:p w:rsidR="00C70C28" w:rsidRPr="000A6E7A" w:rsidRDefault="00C70C28" w:rsidP="00194799">
            <w:pPr>
              <w:spacing w:before="240"/>
            </w:pPr>
          </w:p>
          <w:p w:rsidR="00C70C28" w:rsidRDefault="00C70C28" w:rsidP="00194799">
            <w:pPr>
              <w:spacing w:before="240"/>
            </w:pPr>
          </w:p>
          <w:p w:rsidR="00C70C28" w:rsidRPr="000A6E7A" w:rsidRDefault="00C70C28" w:rsidP="00194799">
            <w:pPr>
              <w:spacing w:before="240"/>
            </w:pPr>
            <w:r>
              <w:t>Consultation et finalisation</w:t>
            </w:r>
          </w:p>
        </w:tc>
        <w:tc>
          <w:tcPr>
            <w:tcW w:w="4395" w:type="dxa"/>
          </w:tcPr>
          <w:p w:rsidR="00C70C28" w:rsidRDefault="00C70C28" w:rsidP="00194799">
            <w:pPr>
              <w:spacing w:before="240"/>
            </w:pPr>
            <w:r>
              <w:t xml:space="preserve">Diffusion du rapport pour consultation </w:t>
            </w:r>
            <w:r w:rsidR="006A60C5">
              <w:t>auprès de</w:t>
            </w:r>
            <w:r>
              <w:t xml:space="preserve"> personne et organisations ressources internationales et nationales</w:t>
            </w:r>
          </w:p>
          <w:p w:rsidR="00403148" w:rsidRDefault="00403148" w:rsidP="00194799"/>
        </w:tc>
        <w:tc>
          <w:tcPr>
            <w:tcW w:w="1417" w:type="dxa"/>
          </w:tcPr>
          <w:p w:rsidR="00C70C28" w:rsidRDefault="00C70C28" w:rsidP="00194799">
            <w:pPr>
              <w:spacing w:before="240"/>
            </w:pPr>
            <w:r>
              <w:t>Liste des personnes….contactés</w:t>
            </w:r>
          </w:p>
        </w:tc>
        <w:tc>
          <w:tcPr>
            <w:tcW w:w="1276" w:type="dxa"/>
            <w:vMerge w:val="restart"/>
          </w:tcPr>
          <w:p w:rsidR="00C70C28" w:rsidRDefault="00C70C28" w:rsidP="00194799">
            <w:pPr>
              <w:spacing w:before="240"/>
            </w:pPr>
          </w:p>
          <w:p w:rsidR="00C70C28" w:rsidRDefault="00C70C28" w:rsidP="00194799">
            <w:pPr>
              <w:spacing w:before="240"/>
            </w:pPr>
          </w:p>
          <w:p w:rsidR="00C70C28" w:rsidRDefault="00AA62F6" w:rsidP="00194799">
            <w:pPr>
              <w:spacing w:before="240"/>
            </w:pPr>
            <w:r>
              <w:t>Atelier/Formation</w:t>
            </w:r>
          </w:p>
        </w:tc>
        <w:tc>
          <w:tcPr>
            <w:tcW w:w="1276" w:type="dxa"/>
            <w:vMerge w:val="restart"/>
          </w:tcPr>
          <w:p w:rsidR="00C70C28" w:rsidRDefault="00C70C28" w:rsidP="00562616">
            <w:pPr>
              <w:spacing w:before="240"/>
              <w:jc w:val="center"/>
            </w:pPr>
          </w:p>
          <w:p w:rsidR="00C70C28" w:rsidRDefault="00C70C28" w:rsidP="00562616">
            <w:pPr>
              <w:spacing w:before="240"/>
              <w:jc w:val="center"/>
            </w:pPr>
          </w:p>
          <w:p w:rsidR="00C70C28" w:rsidRDefault="005C158E" w:rsidP="00562616">
            <w:pPr>
              <w:spacing w:before="240"/>
              <w:jc w:val="center"/>
            </w:pPr>
            <w:r>
              <w:t>3625</w:t>
            </w:r>
          </w:p>
        </w:tc>
        <w:tc>
          <w:tcPr>
            <w:tcW w:w="3544" w:type="dxa"/>
            <w:vMerge w:val="restart"/>
          </w:tcPr>
          <w:p w:rsidR="006C0739" w:rsidRDefault="006C0739" w:rsidP="00194799">
            <w:pPr>
              <w:spacing w:before="240"/>
            </w:pPr>
          </w:p>
          <w:p w:rsidR="006C0739" w:rsidRDefault="006C0739" w:rsidP="00194799">
            <w:pPr>
              <w:spacing w:before="240"/>
            </w:pPr>
          </w:p>
          <w:p w:rsidR="00C70C28" w:rsidRDefault="006C0739" w:rsidP="00194799">
            <w:pPr>
              <w:spacing w:before="240"/>
            </w:pPr>
            <w:r w:rsidRPr="00F45470">
              <w:rPr>
                <w:lang w:val="en-US"/>
              </w:rPr>
              <w:t>PNUD NEW YORK</w:t>
            </w:r>
            <w:r>
              <w:rPr>
                <w:lang w:val="en-US"/>
              </w:rPr>
              <w:t xml:space="preserve"> - </w:t>
            </w:r>
            <w:r>
              <w:t>3.625</w:t>
            </w:r>
          </w:p>
        </w:tc>
      </w:tr>
      <w:tr w:rsidR="00C70C28">
        <w:tc>
          <w:tcPr>
            <w:tcW w:w="45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4395" w:type="dxa"/>
          </w:tcPr>
          <w:p w:rsidR="00C70C28" w:rsidRDefault="00C70C28" w:rsidP="00194799">
            <w:pPr>
              <w:spacing w:before="240"/>
            </w:pPr>
            <w:r>
              <w:t xml:space="preserve">Présentation du rapport et consultations lors d’un atelier avec la CT, deux représentants de chaque autre CT, cinq experts et une </w:t>
            </w:r>
            <w:r w:rsidR="006A60C5">
              <w:t>dizaine</w:t>
            </w:r>
            <w:r>
              <w:t xml:space="preserve"> d’officiels</w:t>
            </w:r>
          </w:p>
          <w:p w:rsidR="00403148" w:rsidRDefault="00403148" w:rsidP="00194799">
            <w:pPr>
              <w:spacing w:before="240"/>
            </w:pPr>
          </w:p>
        </w:tc>
        <w:tc>
          <w:tcPr>
            <w:tcW w:w="1417" w:type="dxa"/>
          </w:tcPr>
          <w:p w:rsidR="00C70C28" w:rsidRDefault="00C70C28" w:rsidP="00194799">
            <w:pPr>
              <w:spacing w:before="240"/>
            </w:pPr>
            <w:r>
              <w:t>Rapport des ateliers</w:t>
            </w:r>
          </w:p>
        </w:tc>
        <w:tc>
          <w:tcPr>
            <w:tcW w:w="1276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C70C28" w:rsidRDefault="00C70C28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C70C28" w:rsidRDefault="00C70C28" w:rsidP="00194799">
            <w:pPr>
              <w:spacing w:before="240"/>
            </w:pPr>
          </w:p>
        </w:tc>
      </w:tr>
      <w:tr w:rsidR="00C70C28">
        <w:tc>
          <w:tcPr>
            <w:tcW w:w="45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94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417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4395" w:type="dxa"/>
          </w:tcPr>
          <w:p w:rsidR="00403148" w:rsidRDefault="00403148" w:rsidP="00194799">
            <w:pPr>
              <w:spacing w:before="240"/>
            </w:pPr>
          </w:p>
          <w:p w:rsidR="00C70C28" w:rsidRDefault="00C70C28" w:rsidP="00194799">
            <w:pPr>
              <w:spacing w:before="240"/>
            </w:pPr>
            <w:r>
              <w:t>Finalisation du rapport</w:t>
            </w:r>
          </w:p>
        </w:tc>
        <w:tc>
          <w:tcPr>
            <w:tcW w:w="1417" w:type="dxa"/>
          </w:tcPr>
          <w:p w:rsidR="00403148" w:rsidRDefault="00403148" w:rsidP="00194799">
            <w:pPr>
              <w:spacing w:before="240"/>
            </w:pPr>
          </w:p>
          <w:p w:rsidR="00C70C28" w:rsidRDefault="00C70C28" w:rsidP="00194799">
            <w:pPr>
              <w:spacing w:before="240"/>
            </w:pPr>
            <w:r>
              <w:t>Rapport de consultation</w:t>
            </w:r>
          </w:p>
        </w:tc>
        <w:tc>
          <w:tcPr>
            <w:tcW w:w="1276" w:type="dxa"/>
            <w:vMerge/>
          </w:tcPr>
          <w:p w:rsidR="00C70C28" w:rsidRDefault="00C70C28" w:rsidP="00194799">
            <w:pPr>
              <w:spacing w:before="240"/>
            </w:pPr>
          </w:p>
        </w:tc>
        <w:tc>
          <w:tcPr>
            <w:tcW w:w="1276" w:type="dxa"/>
            <w:vMerge/>
          </w:tcPr>
          <w:p w:rsidR="00C70C28" w:rsidRDefault="00C70C28" w:rsidP="00562616">
            <w:pPr>
              <w:spacing w:before="240"/>
              <w:jc w:val="center"/>
            </w:pPr>
          </w:p>
        </w:tc>
        <w:tc>
          <w:tcPr>
            <w:tcW w:w="3544" w:type="dxa"/>
            <w:vMerge/>
          </w:tcPr>
          <w:p w:rsidR="00C70C28" w:rsidRDefault="00C70C28" w:rsidP="00194799">
            <w:pPr>
              <w:spacing w:before="240"/>
            </w:pPr>
          </w:p>
        </w:tc>
      </w:tr>
      <w:tr w:rsidR="00C70C28" w:rsidRPr="00F45470">
        <w:tc>
          <w:tcPr>
            <w:tcW w:w="457" w:type="dxa"/>
          </w:tcPr>
          <w:p w:rsidR="00C70C28" w:rsidRDefault="00C70C28" w:rsidP="00C70C28">
            <w:pPr>
              <w:spacing w:before="240"/>
            </w:pPr>
            <w:r>
              <w:t>4</w:t>
            </w:r>
          </w:p>
        </w:tc>
        <w:tc>
          <w:tcPr>
            <w:tcW w:w="1494" w:type="dxa"/>
          </w:tcPr>
          <w:p w:rsidR="00C70C28" w:rsidRDefault="00C70C28" w:rsidP="00C70C28">
            <w:pPr>
              <w:spacing w:before="240"/>
            </w:pPr>
            <w:r>
              <w:t>Fonctionnement</w:t>
            </w:r>
          </w:p>
        </w:tc>
        <w:tc>
          <w:tcPr>
            <w:tcW w:w="1417" w:type="dxa"/>
          </w:tcPr>
          <w:p w:rsidR="00C70C28" w:rsidRDefault="00C70C28" w:rsidP="00C70C28">
            <w:pPr>
              <w:spacing w:before="240"/>
            </w:pPr>
            <w:r>
              <w:t>Fonctionnement</w:t>
            </w:r>
          </w:p>
        </w:tc>
        <w:tc>
          <w:tcPr>
            <w:tcW w:w="4395" w:type="dxa"/>
          </w:tcPr>
          <w:p w:rsidR="00C70C28" w:rsidRDefault="00C70C28" w:rsidP="00C70C28">
            <w:pPr>
              <w:spacing w:before="240"/>
            </w:pPr>
            <w:r>
              <w:t xml:space="preserve">Réunion de liaisons, séminaires de formation, fournitures </w:t>
            </w:r>
            <w:proofErr w:type="spellStart"/>
            <w:r>
              <w:t>ety</w:t>
            </w:r>
            <w:proofErr w:type="spellEnd"/>
            <w:r>
              <w:t xml:space="preserve"> consommables, communication, divers, coordination d’ensemble</w:t>
            </w:r>
          </w:p>
          <w:p w:rsidR="00403148" w:rsidRPr="000A6E7A" w:rsidRDefault="00403148" w:rsidP="00C70C28"/>
        </w:tc>
        <w:tc>
          <w:tcPr>
            <w:tcW w:w="1417" w:type="dxa"/>
          </w:tcPr>
          <w:p w:rsidR="00C70C28" w:rsidRDefault="00AA62F6" w:rsidP="00C70C28">
            <w:pPr>
              <w:spacing w:before="240"/>
            </w:pPr>
            <w:r>
              <w:t>ODC</w:t>
            </w:r>
          </w:p>
        </w:tc>
        <w:tc>
          <w:tcPr>
            <w:tcW w:w="1276" w:type="dxa"/>
          </w:tcPr>
          <w:p w:rsidR="00C70C28" w:rsidRPr="00F45470" w:rsidRDefault="00C70C28" w:rsidP="00C70C28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C70C28" w:rsidRPr="00F45470" w:rsidRDefault="005C158E" w:rsidP="00C70C28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2,265</w:t>
            </w:r>
          </w:p>
        </w:tc>
        <w:tc>
          <w:tcPr>
            <w:tcW w:w="3544" w:type="dxa"/>
          </w:tcPr>
          <w:p w:rsidR="00C70C28" w:rsidRDefault="00C70C28" w:rsidP="00C70C28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PNUD NY:             1.265 $</w:t>
            </w:r>
          </w:p>
          <w:p w:rsidR="00C70C28" w:rsidRPr="00F45470" w:rsidRDefault="00C70C28" w:rsidP="00C70C28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PNUD NORV:       1.000 $</w:t>
            </w:r>
          </w:p>
        </w:tc>
      </w:tr>
      <w:tr w:rsidR="00CD2B49" w:rsidRPr="00F45470">
        <w:tc>
          <w:tcPr>
            <w:tcW w:w="9180" w:type="dxa"/>
            <w:gridSpan w:val="5"/>
          </w:tcPr>
          <w:p w:rsidR="00CD2B49" w:rsidRPr="00CD2B49" w:rsidRDefault="00CD2B49" w:rsidP="00CD2B49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 w:rsidRPr="00CD2B49">
              <w:rPr>
                <w:b/>
                <w:sz w:val="24"/>
                <w:szCs w:val="24"/>
                <w:lang w:val="en-US"/>
              </w:rPr>
              <w:t>Total fonds</w:t>
            </w:r>
          </w:p>
        </w:tc>
        <w:tc>
          <w:tcPr>
            <w:tcW w:w="1276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  <w:r w:rsidRPr="00F45470">
              <w:rPr>
                <w:lang w:val="en-US"/>
              </w:rPr>
              <w:t>PNUD NEW YORK</w:t>
            </w:r>
          </w:p>
        </w:tc>
        <w:tc>
          <w:tcPr>
            <w:tcW w:w="1276" w:type="dxa"/>
          </w:tcPr>
          <w:p w:rsidR="00CD2B49" w:rsidRPr="00F45470" w:rsidRDefault="00CD2B49" w:rsidP="00C70C28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30.000</w:t>
            </w:r>
          </w:p>
        </w:tc>
        <w:tc>
          <w:tcPr>
            <w:tcW w:w="3544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</w:p>
        </w:tc>
      </w:tr>
      <w:tr w:rsidR="00CD2B49" w:rsidRPr="00F45470">
        <w:tc>
          <w:tcPr>
            <w:tcW w:w="9180" w:type="dxa"/>
            <w:gridSpan w:val="5"/>
          </w:tcPr>
          <w:p w:rsidR="00CD2B49" w:rsidRPr="00CD2B49" w:rsidRDefault="00CD2B49" w:rsidP="00CD2B49">
            <w:pPr>
              <w:spacing w:before="240"/>
              <w:jc w:val="center"/>
              <w:rPr>
                <w:b/>
                <w:sz w:val="24"/>
                <w:szCs w:val="24"/>
                <w:lang w:val="en-US"/>
              </w:rPr>
            </w:pPr>
            <w:r w:rsidRPr="00CD2B49">
              <w:rPr>
                <w:b/>
                <w:sz w:val="24"/>
                <w:szCs w:val="24"/>
                <w:lang w:val="en-US"/>
              </w:rPr>
              <w:t>Total fonds</w:t>
            </w:r>
          </w:p>
        </w:tc>
        <w:tc>
          <w:tcPr>
            <w:tcW w:w="1276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  <w:r w:rsidRPr="00F45470">
              <w:rPr>
                <w:lang w:val="en-US"/>
              </w:rPr>
              <w:t>PNUD NORV</w:t>
            </w:r>
            <w:r>
              <w:rPr>
                <w:lang w:val="en-US"/>
              </w:rPr>
              <w:t>EGE</w:t>
            </w:r>
          </w:p>
        </w:tc>
        <w:tc>
          <w:tcPr>
            <w:tcW w:w="1276" w:type="dxa"/>
          </w:tcPr>
          <w:p w:rsidR="00CD2B49" w:rsidRPr="00F45470" w:rsidRDefault="00CD2B49" w:rsidP="00C70C28">
            <w:pPr>
              <w:spacing w:before="240"/>
              <w:jc w:val="center"/>
              <w:rPr>
                <w:lang w:val="en-US"/>
              </w:rPr>
            </w:pPr>
            <w:r>
              <w:rPr>
                <w:lang w:val="en-US"/>
              </w:rPr>
              <w:t>17.500</w:t>
            </w:r>
          </w:p>
        </w:tc>
        <w:tc>
          <w:tcPr>
            <w:tcW w:w="3544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</w:p>
        </w:tc>
      </w:tr>
      <w:tr w:rsidR="00CD2B49" w:rsidRPr="00F45470">
        <w:tc>
          <w:tcPr>
            <w:tcW w:w="9180" w:type="dxa"/>
            <w:gridSpan w:val="5"/>
          </w:tcPr>
          <w:p w:rsidR="00CD2B49" w:rsidRPr="00403148" w:rsidRDefault="00CD2B49" w:rsidP="00CD2B49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403148">
              <w:rPr>
                <w:b/>
                <w:sz w:val="28"/>
                <w:szCs w:val="28"/>
                <w:lang w:val="en-US"/>
              </w:rPr>
              <w:t>TOTAL GENERAL</w:t>
            </w:r>
          </w:p>
        </w:tc>
        <w:tc>
          <w:tcPr>
            <w:tcW w:w="1276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</w:p>
        </w:tc>
        <w:tc>
          <w:tcPr>
            <w:tcW w:w="1276" w:type="dxa"/>
          </w:tcPr>
          <w:p w:rsidR="00CD2B49" w:rsidRPr="00403148" w:rsidRDefault="00CD2B49" w:rsidP="00C70C28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  <w:r w:rsidRPr="00403148">
              <w:rPr>
                <w:b/>
                <w:sz w:val="28"/>
                <w:szCs w:val="28"/>
                <w:lang w:val="en-US"/>
              </w:rPr>
              <w:t>47.500</w:t>
            </w:r>
          </w:p>
          <w:p w:rsidR="00403148" w:rsidRPr="00403148" w:rsidRDefault="00403148" w:rsidP="00C70C28">
            <w:pPr>
              <w:spacing w:before="24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CD2B49" w:rsidRPr="00F45470" w:rsidRDefault="00CD2B49" w:rsidP="00C70C28">
            <w:pPr>
              <w:spacing w:before="240"/>
              <w:rPr>
                <w:lang w:val="en-US"/>
              </w:rPr>
            </w:pPr>
          </w:p>
        </w:tc>
      </w:tr>
    </w:tbl>
    <w:p w:rsidR="003105DB" w:rsidRDefault="003105DB">
      <w:pPr>
        <w:rPr>
          <w:lang w:val="en-US"/>
        </w:rPr>
      </w:pPr>
    </w:p>
    <w:p w:rsidR="00CD2B49" w:rsidRPr="00403148" w:rsidRDefault="00CD2B49" w:rsidP="00403148">
      <w:pPr>
        <w:jc w:val="center"/>
        <w:rPr>
          <w:b/>
          <w:u w:val="single"/>
          <w:lang w:val="en-US"/>
        </w:rPr>
      </w:pPr>
      <w:r w:rsidRPr="00403148">
        <w:rPr>
          <w:b/>
          <w:u w:val="single"/>
          <w:lang w:val="en-US"/>
        </w:rPr>
        <w:t xml:space="preserve">SYNTHESE </w:t>
      </w:r>
      <w:r w:rsidR="00403148" w:rsidRPr="00403148">
        <w:rPr>
          <w:b/>
          <w:u w:val="single"/>
          <w:lang w:val="en-US"/>
        </w:rPr>
        <w:t>SOURCE DE FINANCEMENT</w:t>
      </w:r>
    </w:p>
    <w:p w:rsidR="003105DB" w:rsidRPr="00F45470" w:rsidRDefault="003105DB">
      <w:pPr>
        <w:rPr>
          <w:lang w:val="en-US"/>
        </w:rPr>
      </w:pPr>
    </w:p>
    <w:tbl>
      <w:tblPr>
        <w:tblStyle w:val="TableGrid"/>
        <w:tblW w:w="0" w:type="auto"/>
        <w:jc w:val="center"/>
        <w:tblInd w:w="-773" w:type="dxa"/>
        <w:tblLook w:val="04A0"/>
      </w:tblPr>
      <w:tblGrid>
        <w:gridCol w:w="1461"/>
        <w:gridCol w:w="2041"/>
        <w:gridCol w:w="2061"/>
        <w:gridCol w:w="855"/>
      </w:tblGrid>
      <w:tr w:rsidR="003105DB" w:rsidRPr="00403148">
        <w:trPr>
          <w:jc w:val="center"/>
        </w:trPr>
        <w:tc>
          <w:tcPr>
            <w:tcW w:w="6418" w:type="dxa"/>
            <w:gridSpan w:val="4"/>
            <w:shd w:val="clear" w:color="auto" w:fill="D9D9D9" w:themeFill="background1" w:themeFillShade="D9"/>
          </w:tcPr>
          <w:p w:rsidR="003105DB" w:rsidRPr="00403148" w:rsidRDefault="003105DB" w:rsidP="00CE3FA1">
            <w:pPr>
              <w:jc w:val="center"/>
              <w:rPr>
                <w:b/>
                <w:sz w:val="24"/>
                <w:szCs w:val="24"/>
              </w:rPr>
            </w:pPr>
            <w:r w:rsidRPr="00403148">
              <w:rPr>
                <w:b/>
                <w:sz w:val="24"/>
                <w:szCs w:val="24"/>
              </w:rPr>
              <w:t>MONTANT DE FINANCEMENT</w:t>
            </w:r>
          </w:p>
        </w:tc>
      </w:tr>
      <w:tr w:rsidR="003105DB" w:rsidRPr="00403148">
        <w:trPr>
          <w:jc w:val="center"/>
        </w:trPr>
        <w:tc>
          <w:tcPr>
            <w:tcW w:w="1461" w:type="dxa"/>
            <w:vMerge w:val="restart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SOURCE</w:t>
            </w:r>
          </w:p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PNUD NEW YORK</w:t>
            </w:r>
          </w:p>
        </w:tc>
        <w:tc>
          <w:tcPr>
            <w:tcW w:w="2061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30.000 $ US</w:t>
            </w:r>
          </w:p>
        </w:tc>
        <w:tc>
          <w:tcPr>
            <w:tcW w:w="855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</w:tc>
      </w:tr>
      <w:tr w:rsidR="003105DB" w:rsidRPr="00403148">
        <w:trPr>
          <w:jc w:val="center"/>
        </w:trPr>
        <w:tc>
          <w:tcPr>
            <w:tcW w:w="1461" w:type="dxa"/>
            <w:vMerge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PNUD NORVEGE</w:t>
            </w:r>
          </w:p>
        </w:tc>
        <w:tc>
          <w:tcPr>
            <w:tcW w:w="2061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17.500 $ US</w:t>
            </w:r>
          </w:p>
        </w:tc>
        <w:tc>
          <w:tcPr>
            <w:tcW w:w="855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</w:tc>
      </w:tr>
      <w:tr w:rsidR="003105DB" w:rsidRPr="00403148">
        <w:trPr>
          <w:jc w:val="center"/>
        </w:trPr>
        <w:tc>
          <w:tcPr>
            <w:tcW w:w="3502" w:type="dxa"/>
            <w:gridSpan w:val="2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TOTAL</w:t>
            </w:r>
          </w:p>
        </w:tc>
        <w:tc>
          <w:tcPr>
            <w:tcW w:w="2061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  <w:r w:rsidRPr="00403148">
              <w:rPr>
                <w:sz w:val="24"/>
                <w:szCs w:val="24"/>
              </w:rPr>
              <w:t>47.500 $ US</w:t>
            </w:r>
          </w:p>
        </w:tc>
        <w:tc>
          <w:tcPr>
            <w:tcW w:w="855" w:type="dxa"/>
          </w:tcPr>
          <w:p w:rsidR="003105DB" w:rsidRPr="00403148" w:rsidRDefault="003105DB" w:rsidP="00CE3F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05DB" w:rsidRPr="006A60C5" w:rsidRDefault="003105DB">
      <w:pPr>
        <w:rPr>
          <w:color w:val="FF0000"/>
          <w:sz w:val="24"/>
          <w:szCs w:val="24"/>
        </w:rPr>
      </w:pPr>
    </w:p>
    <w:p w:rsidR="00403148" w:rsidRPr="006A60C5" w:rsidRDefault="00403148">
      <w:pPr>
        <w:rPr>
          <w:color w:val="FF0000"/>
          <w:sz w:val="24"/>
          <w:szCs w:val="24"/>
        </w:rPr>
      </w:pPr>
      <w:r w:rsidRPr="006A60C5">
        <w:rPr>
          <w:color w:val="FF0000"/>
          <w:sz w:val="24"/>
          <w:szCs w:val="24"/>
        </w:rPr>
        <w:t xml:space="preserve">45.500 $ </w:t>
      </w:r>
      <w:r w:rsidR="006C1EB5" w:rsidRPr="006A60C5">
        <w:rPr>
          <w:color w:val="FF0000"/>
          <w:sz w:val="24"/>
          <w:szCs w:val="24"/>
        </w:rPr>
        <w:t>erreur de saisie</w:t>
      </w:r>
    </w:p>
    <w:p w:rsidR="006C1EB5" w:rsidRPr="006C1EB5" w:rsidRDefault="006A60C5" w:rsidP="006C1EB5">
      <w:pPr>
        <w:jc w:val="center"/>
        <w:rPr>
          <w:b/>
        </w:rPr>
      </w:pPr>
      <w:r>
        <w:rPr>
          <w:b/>
        </w:rPr>
        <w:t>Fait à Kinshasa, le 03 septembre</w:t>
      </w:r>
      <w:r w:rsidR="006C1EB5" w:rsidRPr="006C1EB5">
        <w:rPr>
          <w:b/>
        </w:rPr>
        <w:t xml:space="preserve"> 2012</w:t>
      </w:r>
    </w:p>
    <w:sectPr w:rsidR="006C1EB5" w:rsidRPr="006C1EB5" w:rsidSect="00D0051F">
      <w:pgSz w:w="16838" w:h="11906" w:orient="landscape"/>
      <w:pgMar w:top="680" w:right="1021" w:bottom="680" w:left="102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39" w:rsidRDefault="006C0739" w:rsidP="00194799">
      <w:pPr>
        <w:spacing w:after="0" w:line="240" w:lineRule="auto"/>
      </w:pPr>
      <w:r>
        <w:separator/>
      </w:r>
    </w:p>
  </w:endnote>
  <w:endnote w:type="continuationSeparator" w:id="0">
    <w:p w:rsidR="006C0739" w:rsidRDefault="006C0739" w:rsidP="0019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39" w:rsidRDefault="006C0739" w:rsidP="00194799">
      <w:pPr>
        <w:spacing w:after="0" w:line="240" w:lineRule="auto"/>
      </w:pPr>
      <w:r>
        <w:separator/>
      </w:r>
    </w:p>
  </w:footnote>
  <w:footnote w:type="continuationSeparator" w:id="0">
    <w:p w:rsidR="006C0739" w:rsidRDefault="006C0739" w:rsidP="00194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DB"/>
    <w:rsid w:val="000008C3"/>
    <w:rsid w:val="00000F68"/>
    <w:rsid w:val="00112ACD"/>
    <w:rsid w:val="00194799"/>
    <w:rsid w:val="002836DA"/>
    <w:rsid w:val="003105DB"/>
    <w:rsid w:val="00340A1C"/>
    <w:rsid w:val="00396739"/>
    <w:rsid w:val="00403148"/>
    <w:rsid w:val="00562616"/>
    <w:rsid w:val="005C158E"/>
    <w:rsid w:val="006A60C5"/>
    <w:rsid w:val="006C0739"/>
    <w:rsid w:val="006C1EB5"/>
    <w:rsid w:val="00760625"/>
    <w:rsid w:val="007C1E05"/>
    <w:rsid w:val="007C3C89"/>
    <w:rsid w:val="0097469A"/>
    <w:rsid w:val="00AA62F6"/>
    <w:rsid w:val="00AC692C"/>
    <w:rsid w:val="00AD0043"/>
    <w:rsid w:val="00C70C28"/>
    <w:rsid w:val="00CD2B49"/>
    <w:rsid w:val="00CE3FA1"/>
    <w:rsid w:val="00D0051F"/>
    <w:rsid w:val="00DC6F20"/>
    <w:rsid w:val="00F45470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B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7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10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99"/>
  </w:style>
  <w:style w:type="paragraph" w:styleId="Footer">
    <w:name w:val="footer"/>
    <w:basedOn w:val="Normal"/>
    <w:link w:val="FooterChar"/>
    <w:uiPriority w:val="99"/>
    <w:unhideWhenUsed/>
    <w:rsid w:val="0019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99"/>
  </w:style>
  <w:style w:type="paragraph" w:styleId="ListParagraph">
    <w:name w:val="List Paragraph"/>
    <w:basedOn w:val="Normal"/>
    <w:uiPriority w:val="34"/>
    <w:qFormat/>
    <w:rsid w:val="006C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6655-BEFE-984D-9107-AF5CFA79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477</Words>
  <Characters>2719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 Rashidi</dc:creator>
  <cp:lastModifiedBy>Elspeth Halverson</cp:lastModifiedBy>
  <cp:revision>3</cp:revision>
  <dcterms:created xsi:type="dcterms:W3CDTF">2012-09-12T16:32:00Z</dcterms:created>
  <dcterms:modified xsi:type="dcterms:W3CDTF">2012-09-12T16:33:00Z</dcterms:modified>
</cp:coreProperties>
</file>