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0CB" w:rsidRPr="0050132A" w:rsidRDefault="008C607F" w:rsidP="008C607F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bookmarkStart w:id="0" w:name="_GoBack"/>
      <w:bookmarkEnd w:id="0"/>
      <w:r w:rsidRPr="0050132A">
        <w:rPr>
          <w:rFonts w:asciiTheme="minorHAnsi" w:hAnsiTheme="minorHAnsi" w:cstheme="minorHAnsi"/>
          <w:b/>
          <w:color w:val="000099"/>
          <w:sz w:val="22"/>
          <w:szCs w:val="22"/>
        </w:rPr>
        <w:t>T</w:t>
      </w:r>
      <w:r w:rsidR="008730CB" w:rsidRPr="0050132A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erm </w:t>
      </w:r>
      <w:r w:rsidR="008236F6" w:rsidRPr="0050132A">
        <w:rPr>
          <w:rFonts w:asciiTheme="minorHAnsi" w:hAnsiTheme="minorHAnsi" w:cstheme="minorHAnsi"/>
          <w:b/>
          <w:color w:val="000099"/>
          <w:sz w:val="22"/>
          <w:szCs w:val="22"/>
        </w:rPr>
        <w:t>o</w:t>
      </w:r>
      <w:r w:rsidR="008730CB" w:rsidRPr="0050132A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f </w:t>
      </w:r>
      <w:r w:rsidR="008236F6" w:rsidRPr="0050132A">
        <w:rPr>
          <w:rFonts w:asciiTheme="minorHAnsi" w:hAnsiTheme="minorHAnsi" w:cstheme="minorHAnsi"/>
          <w:b/>
          <w:color w:val="000099"/>
          <w:sz w:val="22"/>
          <w:szCs w:val="22"/>
        </w:rPr>
        <w:t>R</w:t>
      </w:r>
      <w:r w:rsidR="008730CB" w:rsidRPr="0050132A">
        <w:rPr>
          <w:rFonts w:asciiTheme="minorHAnsi" w:hAnsiTheme="minorHAnsi" w:cstheme="minorHAnsi"/>
          <w:b/>
          <w:color w:val="000099"/>
          <w:sz w:val="22"/>
          <w:szCs w:val="22"/>
        </w:rPr>
        <w:t>eferences</w:t>
      </w:r>
      <w:r w:rsidR="008236F6" w:rsidRPr="0050132A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 </w:t>
      </w:r>
    </w:p>
    <w:p w:rsidR="008C62DE" w:rsidRPr="0050132A" w:rsidRDefault="00F55839" w:rsidP="008C607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National REDD+ Strategy</w:t>
      </w:r>
    </w:p>
    <w:p w:rsidR="006A6395" w:rsidRPr="0050132A" w:rsidRDefault="006A6395" w:rsidP="000B73A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8"/>
        <w:gridCol w:w="7269"/>
      </w:tblGrid>
      <w:tr w:rsidR="009C736C" w:rsidRPr="0050132A" w:rsidTr="008236F6">
        <w:trPr>
          <w:trHeight w:val="273"/>
        </w:trPr>
        <w:tc>
          <w:tcPr>
            <w:tcW w:w="1818" w:type="dxa"/>
          </w:tcPr>
          <w:p w:rsidR="009C736C" w:rsidRPr="0050132A" w:rsidRDefault="009C736C" w:rsidP="008C607F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</w:pPr>
            <w:r w:rsidRPr="005013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  <w:t>Level</w:t>
            </w:r>
          </w:p>
        </w:tc>
        <w:tc>
          <w:tcPr>
            <w:tcW w:w="7269" w:type="dxa"/>
          </w:tcPr>
          <w:p w:rsidR="00FD0E03" w:rsidRPr="0050132A" w:rsidRDefault="00407C53" w:rsidP="00F55839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  <w:t xml:space="preserve">Two </w:t>
            </w:r>
            <w:r w:rsidR="00FD0E03" w:rsidRPr="005013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  <w:t>National Consultant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  <w:t>s</w:t>
            </w:r>
            <w:r w:rsidR="001F688A" w:rsidRPr="005013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  <w:r w:rsidR="00FD0E03" w:rsidRPr="005013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  <w:t>(Individual Contract)</w:t>
            </w:r>
          </w:p>
        </w:tc>
      </w:tr>
      <w:tr w:rsidR="008C607F" w:rsidRPr="0050132A" w:rsidTr="008236F6">
        <w:trPr>
          <w:trHeight w:val="257"/>
        </w:trPr>
        <w:tc>
          <w:tcPr>
            <w:tcW w:w="1818" w:type="dxa"/>
          </w:tcPr>
          <w:p w:rsidR="008C607F" w:rsidRPr="0050132A" w:rsidRDefault="008C607F" w:rsidP="0079379F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</w:pPr>
            <w:r w:rsidRPr="005013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  <w:t>Practice Area:</w:t>
            </w:r>
          </w:p>
        </w:tc>
        <w:tc>
          <w:tcPr>
            <w:tcW w:w="7269" w:type="dxa"/>
          </w:tcPr>
          <w:p w:rsidR="008C607F" w:rsidRPr="0050132A" w:rsidRDefault="008C607F" w:rsidP="008C62DE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</w:pPr>
            <w:r w:rsidRPr="005013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  <w:t>REDD+ (Forests and Climate Change)</w:t>
            </w:r>
          </w:p>
        </w:tc>
      </w:tr>
      <w:tr w:rsidR="008C607F" w:rsidRPr="0050132A" w:rsidTr="008236F6">
        <w:trPr>
          <w:trHeight w:val="368"/>
        </w:trPr>
        <w:tc>
          <w:tcPr>
            <w:tcW w:w="1818" w:type="dxa"/>
          </w:tcPr>
          <w:p w:rsidR="008C607F" w:rsidRPr="0050132A" w:rsidRDefault="008236F6" w:rsidP="0079379F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</w:pPr>
            <w:r w:rsidRPr="005013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  <w:t>Duration</w:t>
            </w:r>
            <w:r w:rsidR="008C607F" w:rsidRPr="005013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7269" w:type="dxa"/>
          </w:tcPr>
          <w:p w:rsidR="00407C53" w:rsidRPr="00407C53" w:rsidRDefault="00C021EE" w:rsidP="00C021EE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  <w:t xml:space="preserve">315 days </w:t>
            </w:r>
            <w:r w:rsidR="008E379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  <w:t xml:space="preserve">during the period </w:t>
            </w:r>
            <w:r w:rsidR="00407C5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  <w:t>20 May</w:t>
            </w:r>
            <w:r w:rsidR="008E379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  <w:t xml:space="preserve"> 2014 to 1st November 2015</w:t>
            </w:r>
            <w:r w:rsidR="00407C5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C607F" w:rsidRPr="0050132A" w:rsidTr="008236F6">
        <w:trPr>
          <w:trHeight w:val="273"/>
        </w:trPr>
        <w:tc>
          <w:tcPr>
            <w:tcW w:w="1818" w:type="dxa"/>
          </w:tcPr>
          <w:p w:rsidR="008C607F" w:rsidRPr="0050132A" w:rsidRDefault="008C607F" w:rsidP="008C607F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</w:pPr>
            <w:r w:rsidRPr="005013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  <w:t>Duty Station:</w:t>
            </w:r>
          </w:p>
        </w:tc>
        <w:tc>
          <w:tcPr>
            <w:tcW w:w="7269" w:type="dxa"/>
          </w:tcPr>
          <w:p w:rsidR="008C607F" w:rsidRPr="0050132A" w:rsidRDefault="008C607F" w:rsidP="008C607F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</w:pPr>
            <w:r w:rsidRPr="005013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  <w:t xml:space="preserve">Phnom Penh </w:t>
            </w:r>
          </w:p>
        </w:tc>
      </w:tr>
      <w:tr w:rsidR="008C607F" w:rsidRPr="0050132A" w:rsidTr="008236F6">
        <w:trPr>
          <w:trHeight w:val="289"/>
        </w:trPr>
        <w:tc>
          <w:tcPr>
            <w:tcW w:w="1818" w:type="dxa"/>
          </w:tcPr>
          <w:p w:rsidR="008C607F" w:rsidRPr="0050132A" w:rsidRDefault="00E533AA" w:rsidP="008C607F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</w:pPr>
            <w:r w:rsidRPr="005013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  <w:t>Activity:</w:t>
            </w:r>
          </w:p>
        </w:tc>
        <w:tc>
          <w:tcPr>
            <w:tcW w:w="7269" w:type="dxa"/>
          </w:tcPr>
          <w:p w:rsidR="008C607F" w:rsidRPr="0050132A" w:rsidRDefault="00E533AA" w:rsidP="008C607F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</w:pPr>
            <w:proofErr w:type="spellStart"/>
            <w:r w:rsidRPr="0050132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  <w:t>2.1</w:t>
            </w:r>
            <w:r w:rsidR="00F5583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  <w:t>b</w:t>
            </w:r>
            <w:proofErr w:type="spellEnd"/>
            <w:r w:rsidR="00F5583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 w:eastAsia="en-US"/>
              </w:rPr>
              <w:t xml:space="preserve"> (FCPF)</w:t>
            </w:r>
          </w:p>
        </w:tc>
      </w:tr>
    </w:tbl>
    <w:p w:rsidR="008C607F" w:rsidRPr="0050132A" w:rsidRDefault="008C607F" w:rsidP="0079379F">
      <w:pPr>
        <w:pStyle w:val="Heading3"/>
        <w:numPr>
          <w:ilvl w:val="0"/>
          <w:numId w:val="0"/>
        </w:numPr>
        <w:spacing w:before="0" w:after="0"/>
        <w:rPr>
          <w:rFonts w:asciiTheme="minorHAnsi" w:hAnsiTheme="minorHAnsi" w:cstheme="minorHAnsi"/>
          <w:b w:val="0"/>
          <w:bCs w:val="0"/>
          <w:sz w:val="22"/>
          <w:szCs w:val="22"/>
          <w:lang w:val="en-US" w:eastAsia="en-US"/>
        </w:rPr>
      </w:pPr>
    </w:p>
    <w:p w:rsidR="00A76029" w:rsidRPr="0050132A" w:rsidRDefault="00A76029" w:rsidP="0079379F">
      <w:pPr>
        <w:pStyle w:val="Heading1"/>
        <w:numPr>
          <w:ilvl w:val="0"/>
          <w:numId w:val="0"/>
        </w:numPr>
        <w:spacing w:before="0" w:after="0"/>
        <w:rPr>
          <w:rFonts w:asciiTheme="minorHAnsi" w:hAnsiTheme="minorHAnsi" w:cstheme="minorHAnsi"/>
          <w:i/>
          <w:iCs/>
          <w:color w:val="000099"/>
          <w:kern w:val="0"/>
          <w:sz w:val="22"/>
          <w:szCs w:val="22"/>
          <w:u w:val="single"/>
          <w:lang w:eastAsia="ja-JP"/>
        </w:rPr>
      </w:pPr>
      <w:r w:rsidRPr="0050132A">
        <w:rPr>
          <w:rFonts w:asciiTheme="minorHAnsi" w:hAnsiTheme="minorHAnsi" w:cstheme="minorHAnsi"/>
          <w:i/>
          <w:iCs/>
          <w:color w:val="000099"/>
          <w:kern w:val="0"/>
          <w:sz w:val="22"/>
          <w:szCs w:val="22"/>
          <w:u w:val="single"/>
          <w:lang w:eastAsia="ja-JP"/>
        </w:rPr>
        <w:t>Background</w:t>
      </w:r>
      <w:r w:rsidR="006A6395" w:rsidRPr="0050132A">
        <w:rPr>
          <w:rFonts w:asciiTheme="minorHAnsi" w:hAnsiTheme="minorHAnsi" w:cstheme="minorHAnsi"/>
          <w:i/>
          <w:iCs/>
          <w:color w:val="000099"/>
          <w:kern w:val="0"/>
          <w:sz w:val="22"/>
          <w:szCs w:val="22"/>
          <w:u w:val="single"/>
          <w:lang w:eastAsia="ja-JP"/>
        </w:rPr>
        <w:t>:</w:t>
      </w:r>
      <w:r w:rsidRPr="0050132A">
        <w:rPr>
          <w:rFonts w:asciiTheme="minorHAnsi" w:hAnsiTheme="minorHAnsi" w:cstheme="minorHAnsi"/>
          <w:i/>
          <w:iCs/>
          <w:color w:val="000099"/>
          <w:kern w:val="0"/>
          <w:sz w:val="22"/>
          <w:szCs w:val="22"/>
          <w:u w:val="single"/>
          <w:lang w:eastAsia="ja-JP"/>
        </w:rPr>
        <w:t xml:space="preserve"> </w:t>
      </w:r>
    </w:p>
    <w:p w:rsidR="007C4EA0" w:rsidRPr="007C4EA0" w:rsidRDefault="007C4EA0" w:rsidP="007C4EA0">
      <w:pPr>
        <w:pStyle w:val="Heading1"/>
        <w:numPr>
          <w:ilvl w:val="0"/>
          <w:numId w:val="0"/>
        </w:numPr>
        <w:spacing w:before="0" w:after="0"/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GB"/>
        </w:rPr>
      </w:pP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GB"/>
        </w:rPr>
        <w:t>A</w:t>
      </w:r>
      <w:r w:rsidRPr="007C4EA0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GB"/>
        </w:rPr>
        <w:t xml:space="preserve"> REDD+ Strategy is a key requirement for the participation in an international REDD+ mechanism</w:t>
      </w:r>
      <w:r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GB"/>
        </w:rPr>
        <w:t xml:space="preserve"> and </w:t>
      </w:r>
      <w:r w:rsidR="00B37D7A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GB"/>
        </w:rPr>
        <w:t xml:space="preserve">serve an important purpose by </w:t>
      </w:r>
      <w:r w:rsidRPr="007C4EA0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GB"/>
        </w:rPr>
        <w:t>provid</w:t>
      </w:r>
      <w:r w:rsidR="00B37D7A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GB"/>
        </w:rPr>
        <w:t>ing</w:t>
      </w:r>
      <w:r w:rsidRPr="007C4EA0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GB"/>
        </w:rPr>
        <w:t xml:space="preserve"> strategic direction for stakeholders involved especially ministries and line agencies where key political decisions on land </w:t>
      </w:r>
      <w:r w:rsidR="00B37D7A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GB"/>
        </w:rPr>
        <w:t>use including forests are made but also as</w:t>
      </w:r>
      <w:r w:rsidRPr="007C4EA0">
        <w:rPr>
          <w:rFonts w:asciiTheme="minorHAnsi" w:hAnsiTheme="minorHAnsi" w:cstheme="minorHAnsi"/>
          <w:b w:val="0"/>
          <w:bCs w:val="0"/>
          <w:kern w:val="0"/>
          <w:sz w:val="22"/>
          <w:szCs w:val="22"/>
          <w:lang w:val="en-GB"/>
        </w:rPr>
        <w:t xml:space="preserve"> a tool to communicate the strategic direction of the Royal Cambodian Government to stakeholders as well as international donors as a mean to attract financial support. </w:t>
      </w:r>
    </w:p>
    <w:p w:rsidR="007C4EA0" w:rsidRDefault="007C4EA0" w:rsidP="007C4EA0">
      <w:pPr>
        <w:rPr>
          <w:lang w:val="en-GB"/>
        </w:rPr>
      </w:pPr>
    </w:p>
    <w:p w:rsidR="007C4EA0" w:rsidRPr="00B37D7A" w:rsidRDefault="007C4EA0" w:rsidP="00B37D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37D7A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="00B37D7A" w:rsidRPr="00B37D7A">
        <w:rPr>
          <w:rFonts w:asciiTheme="minorHAnsi" w:hAnsiTheme="minorHAnsi" w:cstheme="minorHAnsi"/>
          <w:sz w:val="22"/>
          <w:szCs w:val="22"/>
          <w:lang w:val="en-GB"/>
        </w:rPr>
        <w:t xml:space="preserve">strategy will furthermore </w:t>
      </w:r>
      <w:r w:rsidRPr="00B37D7A">
        <w:rPr>
          <w:rFonts w:asciiTheme="minorHAnsi" w:hAnsiTheme="minorHAnsi" w:cstheme="minorHAnsi"/>
          <w:sz w:val="22"/>
          <w:szCs w:val="22"/>
          <w:lang w:val="en-GB"/>
        </w:rPr>
        <w:t xml:space="preserve">identify the actions necessary to generate results in terms of reducing emission or enhancing removals of greenhouse gasses as well as the costs of implementing the identified actions and </w:t>
      </w:r>
      <w:r w:rsidR="00B37D7A">
        <w:rPr>
          <w:rFonts w:asciiTheme="minorHAnsi" w:hAnsiTheme="minorHAnsi" w:cstheme="minorHAnsi"/>
          <w:sz w:val="22"/>
          <w:szCs w:val="22"/>
          <w:lang w:val="en-GB"/>
        </w:rPr>
        <w:t>demonstrate how Cambodia intents to address</w:t>
      </w:r>
      <w:r w:rsidRPr="00B37D7A">
        <w:rPr>
          <w:rFonts w:asciiTheme="minorHAnsi" w:hAnsiTheme="minorHAnsi" w:cstheme="minorHAnsi"/>
          <w:sz w:val="22"/>
          <w:szCs w:val="22"/>
          <w:lang w:val="en-GB"/>
        </w:rPr>
        <w:t xml:space="preserve"> the other required aspects needed for participation in an international UNFCCC REDD+ mechanism. </w:t>
      </w:r>
    </w:p>
    <w:p w:rsidR="007C4EA0" w:rsidRDefault="007C4EA0" w:rsidP="007C4EA0">
      <w:pPr>
        <w:autoSpaceDE w:val="0"/>
        <w:autoSpaceDN w:val="0"/>
        <w:adjustRightInd w:val="0"/>
      </w:pPr>
    </w:p>
    <w:p w:rsidR="007C4EA0" w:rsidRPr="00B37D7A" w:rsidRDefault="007C4EA0" w:rsidP="00B37D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37D7A">
        <w:rPr>
          <w:rFonts w:asciiTheme="minorHAnsi" w:hAnsiTheme="minorHAnsi" w:cstheme="minorHAnsi"/>
          <w:sz w:val="22"/>
          <w:szCs w:val="22"/>
          <w:lang w:val="en-GB"/>
        </w:rPr>
        <w:t xml:space="preserve">A National REDD+ Strategy will cover the whole country and is essential for achieving results on a national scale where many different stakeholders will need to be involved and work towards a common goal. </w:t>
      </w:r>
    </w:p>
    <w:p w:rsidR="007C4EA0" w:rsidRDefault="007C4EA0" w:rsidP="007C4EA0">
      <w:pPr>
        <w:autoSpaceDE w:val="0"/>
        <w:autoSpaceDN w:val="0"/>
        <w:adjustRightInd w:val="0"/>
      </w:pPr>
    </w:p>
    <w:p w:rsidR="007C4EA0" w:rsidRPr="00B37D7A" w:rsidRDefault="007C4EA0" w:rsidP="007C4EA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B37D7A">
        <w:rPr>
          <w:rFonts w:asciiTheme="minorHAnsi" w:hAnsiTheme="minorHAnsi" w:cstheme="minorHAnsi"/>
          <w:sz w:val="22"/>
          <w:szCs w:val="22"/>
          <w:lang w:val="en-GB"/>
        </w:rPr>
        <w:t>Developing a national strategy will require involvement of authorities at local, provincial and national level as well as communities and NGOs and will be led by the National REDD+ Taskforce supported by technical work carried out by the four Technical Teams, further input from the Consultation Group and supported by the REDD+ Taskforce Secretariat as well as by a number of supporting frameworks.</w:t>
      </w:r>
    </w:p>
    <w:p w:rsidR="007C4EA0" w:rsidRPr="00B37D7A" w:rsidRDefault="007C4EA0" w:rsidP="007C4EA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</w:p>
    <w:p w:rsidR="006E2DC2" w:rsidRDefault="006E2DC2" w:rsidP="006E2DC2">
      <w:pPr>
        <w:autoSpaceDE w:val="0"/>
        <w:autoSpaceDN w:val="0"/>
        <w:rPr>
          <w:rFonts w:asciiTheme="minorHAnsi" w:hAnsiTheme="minorHAnsi" w:cstheme="minorHAnsi"/>
          <w:sz w:val="22"/>
          <w:szCs w:val="22"/>
          <w:lang w:val="en-GB"/>
        </w:rPr>
      </w:pPr>
      <w:r w:rsidRPr="00B37D7A">
        <w:rPr>
          <w:rFonts w:asciiTheme="minorHAnsi" w:hAnsiTheme="minorHAnsi" w:cstheme="minorHAnsi"/>
          <w:sz w:val="22"/>
          <w:szCs w:val="22"/>
          <w:lang w:val="en-GB"/>
        </w:rPr>
        <w:t xml:space="preserve">The structure with four Technical Teams will cover the technical input to the development of the strategy </w:t>
      </w:r>
      <w:r>
        <w:rPr>
          <w:rFonts w:asciiTheme="minorHAnsi" w:hAnsiTheme="minorHAnsi" w:cstheme="minorHAnsi"/>
          <w:sz w:val="22"/>
          <w:szCs w:val="22"/>
          <w:lang w:val="en-GB"/>
        </w:rPr>
        <w:t>as indicated in the table below. Some sections do not have a logic home in a specific technical team. In some cases this will be lifted by activities supported by different supporting frameworks including UN-REDD, FCPF and CAM-REDD and proposals will be developed based on this work. T</w:t>
      </w:r>
      <w:r w:rsidRPr="00B37D7A">
        <w:rPr>
          <w:rFonts w:asciiTheme="minorHAnsi" w:hAnsiTheme="minorHAnsi" w:cstheme="minorHAnsi"/>
          <w:sz w:val="22"/>
          <w:szCs w:val="22"/>
          <w:lang w:val="en-GB"/>
        </w:rPr>
        <w:t xml:space="preserve">he National REDD+ Taskforce will </w:t>
      </w:r>
      <w:r>
        <w:rPr>
          <w:rFonts w:asciiTheme="minorHAnsi" w:hAnsiTheme="minorHAnsi" w:cstheme="minorHAnsi"/>
          <w:sz w:val="22"/>
          <w:szCs w:val="22"/>
          <w:lang w:val="en-GB"/>
        </w:rPr>
        <w:t>take decisions on sections and the final product as necessary</w:t>
      </w:r>
      <w:r w:rsidRPr="00B37D7A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:rsidR="007C4EA0" w:rsidRDefault="007C4EA0" w:rsidP="007C4EA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9"/>
        <w:gridCol w:w="3861"/>
        <w:gridCol w:w="2773"/>
      </w:tblGrid>
      <w:tr w:rsidR="006E2DC2" w:rsidTr="00E1332D">
        <w:tc>
          <w:tcPr>
            <w:tcW w:w="2808" w:type="dxa"/>
          </w:tcPr>
          <w:p w:rsidR="006E2DC2" w:rsidRDefault="006E2DC2" w:rsidP="00407C53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Section</w:t>
            </w:r>
          </w:p>
        </w:tc>
        <w:tc>
          <w:tcPr>
            <w:tcW w:w="4320" w:type="dxa"/>
          </w:tcPr>
          <w:p w:rsidR="006E2DC2" w:rsidRDefault="006E2DC2" w:rsidP="00407C53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Approach</w:t>
            </w:r>
          </w:p>
        </w:tc>
        <w:tc>
          <w:tcPr>
            <w:tcW w:w="3024" w:type="dxa"/>
          </w:tcPr>
          <w:p w:rsidR="006E2DC2" w:rsidRDefault="006E2DC2" w:rsidP="00407C53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Technical Team</w:t>
            </w:r>
          </w:p>
        </w:tc>
      </w:tr>
      <w:tr w:rsidR="006E2DC2" w:rsidTr="00E1332D">
        <w:tc>
          <w:tcPr>
            <w:tcW w:w="2808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Objective of the strategy (target)</w:t>
            </w:r>
          </w:p>
        </w:tc>
        <w:tc>
          <w:tcPr>
            <w:tcW w:w="4320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REDD+ Taskforce will suggest an appropriate target drawing on input from various technical teams</w:t>
            </w:r>
          </w:p>
        </w:tc>
        <w:tc>
          <w:tcPr>
            <w:tcW w:w="3024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E2DC2" w:rsidTr="00E1332D">
        <w:tc>
          <w:tcPr>
            <w:tcW w:w="2808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Background</w:t>
            </w:r>
          </w:p>
        </w:tc>
        <w:tc>
          <w:tcPr>
            <w:tcW w:w="4320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Will be an update of existing information including new information on drivers of deforestation and forest degradation</w:t>
            </w:r>
          </w:p>
        </w:tc>
        <w:tc>
          <w:tcPr>
            <w:tcW w:w="3024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MRV/REL TT will provide updated information on drivers of deforestation and forest degradation.</w:t>
            </w:r>
          </w:p>
        </w:tc>
      </w:tr>
      <w:tr w:rsidR="006E2DC2" w:rsidTr="00E1332D">
        <w:tc>
          <w:tcPr>
            <w:tcW w:w="2808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Institution arrangements</w:t>
            </w:r>
          </w:p>
        </w:tc>
        <w:tc>
          <w:tcPr>
            <w:tcW w:w="4320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REDD+ Taskforce will confirm the institutional arrangements</w:t>
            </w:r>
          </w:p>
        </w:tc>
        <w:tc>
          <w:tcPr>
            <w:tcW w:w="3024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E2DC2" w:rsidTr="00E1332D">
        <w:tc>
          <w:tcPr>
            <w:tcW w:w="2808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Policies and measures to address drivers of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deforestation and forest degradation</w:t>
            </w:r>
          </w:p>
        </w:tc>
        <w:tc>
          <w:tcPr>
            <w:tcW w:w="4320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 xml:space="preserve">A common approach with individual action plans for each line agencies  </w:t>
            </w:r>
          </w:p>
        </w:tc>
        <w:tc>
          <w:tcPr>
            <w:tcW w:w="3024" w:type="dxa"/>
          </w:tcPr>
          <w:p w:rsidR="006E2DC2" w:rsidRDefault="006E2DC2" w:rsidP="00407582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Demonstration TT will </w:t>
            </w:r>
            <w:r w:rsidR="004075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analyse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existing experiences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 xml:space="preserve">from pilot projects, FA, GDANCP and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will propose appropriate strategies for each line agency. </w:t>
            </w:r>
          </w:p>
        </w:tc>
      </w:tr>
      <w:tr w:rsidR="006E2DC2" w:rsidTr="00E1332D">
        <w:tc>
          <w:tcPr>
            <w:tcW w:w="2808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Safeguards</w:t>
            </w:r>
          </w:p>
        </w:tc>
        <w:tc>
          <w:tcPr>
            <w:tcW w:w="4320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 common approach for all line agencies to allow for a common reporting</w:t>
            </w:r>
          </w:p>
        </w:tc>
        <w:tc>
          <w:tcPr>
            <w:tcW w:w="3024" w:type="dxa"/>
          </w:tcPr>
          <w:p w:rsidR="006E2DC2" w:rsidRDefault="006E2DC2" w:rsidP="00407582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Safeguard </w:t>
            </w:r>
            <w:r w:rsidR="004075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TT</w:t>
            </w:r>
          </w:p>
        </w:tc>
      </w:tr>
      <w:tr w:rsidR="006E2DC2" w:rsidTr="00E1332D">
        <w:tc>
          <w:tcPr>
            <w:tcW w:w="2808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Benefit sharing</w:t>
            </w:r>
          </w:p>
        </w:tc>
        <w:tc>
          <w:tcPr>
            <w:tcW w:w="4320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 common approach for all line agencies</w:t>
            </w:r>
            <w:r w:rsidR="00407C5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adapted to specific activities as appropriate</w:t>
            </w:r>
          </w:p>
        </w:tc>
        <w:tc>
          <w:tcPr>
            <w:tcW w:w="3024" w:type="dxa"/>
          </w:tcPr>
          <w:p w:rsidR="006E2DC2" w:rsidRDefault="006E2DC2" w:rsidP="00407582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Benefit sharing TT </w:t>
            </w:r>
          </w:p>
        </w:tc>
      </w:tr>
      <w:tr w:rsidR="006E2DC2" w:rsidTr="00E1332D">
        <w:tc>
          <w:tcPr>
            <w:tcW w:w="2808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National fund or another approach to receive and disburse international funding</w:t>
            </w:r>
          </w:p>
        </w:tc>
        <w:tc>
          <w:tcPr>
            <w:tcW w:w="4320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REDD+ Taskforce will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advice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on possible activities</w:t>
            </w:r>
          </w:p>
        </w:tc>
        <w:tc>
          <w:tcPr>
            <w:tcW w:w="3024" w:type="dxa"/>
          </w:tcPr>
          <w:p w:rsidR="006E2DC2" w:rsidRDefault="006E2DC2" w:rsidP="00407582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Benefit sharing TT </w:t>
            </w:r>
          </w:p>
        </w:tc>
      </w:tr>
      <w:tr w:rsidR="006E2DC2" w:rsidTr="00E1332D">
        <w:tc>
          <w:tcPr>
            <w:tcW w:w="2808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National forest monitoring system </w:t>
            </w:r>
          </w:p>
        </w:tc>
        <w:tc>
          <w:tcPr>
            <w:tcW w:w="4320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Most likely building on an existing proposal for NFI</w:t>
            </w:r>
          </w:p>
        </w:tc>
        <w:tc>
          <w:tcPr>
            <w:tcW w:w="3024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MRV/REL TT</w:t>
            </w:r>
          </w:p>
        </w:tc>
      </w:tr>
      <w:tr w:rsidR="006E2DC2" w:rsidTr="00E1332D">
        <w:tc>
          <w:tcPr>
            <w:tcW w:w="2808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National REL/RL</w:t>
            </w:r>
          </w:p>
        </w:tc>
        <w:tc>
          <w:tcPr>
            <w:tcW w:w="4320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24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MRV/REL TT</w:t>
            </w:r>
          </w:p>
        </w:tc>
      </w:tr>
      <w:tr w:rsidR="006E2DC2" w:rsidTr="00E1332D">
        <w:tc>
          <w:tcPr>
            <w:tcW w:w="2808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National system to report on GHGs</w:t>
            </w:r>
          </w:p>
        </w:tc>
        <w:tc>
          <w:tcPr>
            <w:tcW w:w="4320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24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MRV/REL TT</w:t>
            </w:r>
          </w:p>
        </w:tc>
      </w:tr>
      <w:tr w:rsidR="006E2DC2" w:rsidTr="00E1332D">
        <w:tc>
          <w:tcPr>
            <w:tcW w:w="2808" w:type="dxa"/>
          </w:tcPr>
          <w:p w:rsidR="006E2DC2" w:rsidRDefault="006E2DC2" w:rsidP="00407C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Possible role for subnational implementation in a national REDD+ strategy</w:t>
            </w:r>
          </w:p>
        </w:tc>
        <w:tc>
          <w:tcPr>
            <w:tcW w:w="4320" w:type="dxa"/>
          </w:tcPr>
          <w:p w:rsidR="006E2DC2" w:rsidRDefault="006E2DC2" w:rsidP="00407C53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Depending on the role of subnational implementation there should be a section on how to deal with different layers of accounting including registry </w:t>
            </w:r>
          </w:p>
        </w:tc>
        <w:tc>
          <w:tcPr>
            <w:tcW w:w="3024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Demonstration TT</w:t>
            </w:r>
          </w:p>
        </w:tc>
      </w:tr>
      <w:tr w:rsidR="006E2DC2" w:rsidTr="00E1332D">
        <w:tc>
          <w:tcPr>
            <w:tcW w:w="2808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Financing the implementation of the REDD+ strategy</w:t>
            </w:r>
          </w:p>
        </w:tc>
        <w:tc>
          <w:tcPr>
            <w:tcW w:w="4320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Line agencies and benefit sharing TT will have some cost estimates for various activities. Depending on the identified PAMs there might be additional costs outside the forest sector. </w:t>
            </w:r>
          </w:p>
        </w:tc>
        <w:tc>
          <w:tcPr>
            <w:tcW w:w="3024" w:type="dxa"/>
          </w:tcPr>
          <w:p w:rsidR="006E2DC2" w:rsidRDefault="006E2DC2" w:rsidP="00E1332D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:rsidR="006E2DC2" w:rsidRPr="00B37D7A" w:rsidRDefault="006E2DC2" w:rsidP="007C4EA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</w:p>
    <w:p w:rsidR="007C4EA0" w:rsidRPr="00B37D7A" w:rsidRDefault="007C4EA0" w:rsidP="007C4EA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GB"/>
        </w:rPr>
      </w:pPr>
      <w:r w:rsidRPr="00B37D7A">
        <w:rPr>
          <w:rFonts w:asciiTheme="minorHAnsi" w:hAnsiTheme="minorHAnsi" w:cstheme="minorHAnsi"/>
          <w:sz w:val="22"/>
          <w:szCs w:val="22"/>
          <w:lang w:val="en-GB"/>
        </w:rPr>
        <w:t>The eventual adoption of a National REDD+ Strategy will follow relevant procedures by the Royal Cambodian Government which will also ensure its alignment with other relevant policies.</w:t>
      </w:r>
    </w:p>
    <w:p w:rsidR="007C4EA0" w:rsidRPr="007C4EA0" w:rsidRDefault="007C4EA0" w:rsidP="007C4EA0">
      <w:pPr>
        <w:rPr>
          <w:lang w:val="en-GB"/>
        </w:rPr>
      </w:pPr>
    </w:p>
    <w:p w:rsidR="00375847" w:rsidRPr="007C4EA0" w:rsidRDefault="00375847" w:rsidP="00375847">
      <w:pPr>
        <w:pStyle w:val="Heading1"/>
        <w:numPr>
          <w:ilvl w:val="0"/>
          <w:numId w:val="0"/>
        </w:numPr>
        <w:spacing w:before="0" w:after="0"/>
        <w:rPr>
          <w:rFonts w:asciiTheme="minorHAnsi" w:hAnsiTheme="minorHAnsi" w:cstheme="minorHAnsi"/>
          <w:i/>
          <w:iCs/>
          <w:color w:val="000099"/>
          <w:kern w:val="0"/>
          <w:sz w:val="22"/>
          <w:szCs w:val="22"/>
          <w:u w:val="single"/>
          <w:lang w:eastAsia="ja-JP"/>
        </w:rPr>
      </w:pPr>
      <w:r w:rsidRPr="007C4EA0">
        <w:rPr>
          <w:rFonts w:asciiTheme="minorHAnsi" w:hAnsiTheme="minorHAnsi" w:cstheme="minorHAnsi"/>
          <w:i/>
          <w:iCs/>
          <w:color w:val="000099"/>
          <w:kern w:val="0"/>
          <w:sz w:val="22"/>
          <w:szCs w:val="22"/>
          <w:u w:val="single"/>
          <w:lang w:eastAsia="ja-JP"/>
        </w:rPr>
        <w:t>Scope of Work</w:t>
      </w:r>
    </w:p>
    <w:p w:rsidR="0050132A" w:rsidRPr="0050132A" w:rsidRDefault="0050132A" w:rsidP="0050132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1CC5" w:rsidRDefault="00FE4E61" w:rsidP="003B2592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132A">
        <w:rPr>
          <w:rFonts w:asciiTheme="minorHAnsi" w:hAnsiTheme="minorHAnsi" w:cstheme="minorHAnsi"/>
          <w:sz w:val="22"/>
          <w:szCs w:val="22"/>
        </w:rPr>
        <w:t xml:space="preserve">Assist and work closely with </w:t>
      </w:r>
      <w:r w:rsidR="00B37D7A">
        <w:rPr>
          <w:rFonts w:asciiTheme="minorHAnsi" w:hAnsiTheme="minorHAnsi" w:cstheme="minorHAnsi"/>
          <w:sz w:val="22"/>
          <w:szCs w:val="22"/>
        </w:rPr>
        <w:t xml:space="preserve">Technical Teams </w:t>
      </w:r>
      <w:r w:rsidR="00B61CC5">
        <w:rPr>
          <w:rFonts w:asciiTheme="minorHAnsi" w:hAnsiTheme="minorHAnsi" w:cstheme="minorHAnsi"/>
          <w:sz w:val="22"/>
          <w:szCs w:val="22"/>
        </w:rPr>
        <w:t xml:space="preserve">to </w:t>
      </w:r>
      <w:r w:rsidR="006B34AA">
        <w:rPr>
          <w:rFonts w:asciiTheme="minorHAnsi" w:hAnsiTheme="minorHAnsi" w:cstheme="minorHAnsi"/>
          <w:sz w:val="22"/>
          <w:szCs w:val="22"/>
        </w:rPr>
        <w:t xml:space="preserve">develop a </w:t>
      </w:r>
      <w:proofErr w:type="spellStart"/>
      <w:r w:rsidR="006B34AA">
        <w:rPr>
          <w:rFonts w:asciiTheme="minorHAnsi" w:hAnsiTheme="minorHAnsi" w:cstheme="minorHAnsi"/>
          <w:sz w:val="22"/>
          <w:szCs w:val="22"/>
        </w:rPr>
        <w:t>workplan</w:t>
      </w:r>
      <w:proofErr w:type="spellEnd"/>
      <w:r w:rsidR="006B34AA">
        <w:rPr>
          <w:rFonts w:asciiTheme="minorHAnsi" w:hAnsiTheme="minorHAnsi" w:cstheme="minorHAnsi"/>
          <w:sz w:val="22"/>
          <w:szCs w:val="22"/>
        </w:rPr>
        <w:t xml:space="preserve"> </w:t>
      </w:r>
      <w:r w:rsidR="00B61CC5">
        <w:rPr>
          <w:rFonts w:asciiTheme="minorHAnsi" w:hAnsiTheme="minorHAnsi" w:cstheme="minorHAnsi"/>
          <w:sz w:val="22"/>
          <w:szCs w:val="22"/>
        </w:rPr>
        <w:t xml:space="preserve">with milestones </w:t>
      </w:r>
      <w:r w:rsidR="006B34AA">
        <w:rPr>
          <w:rFonts w:asciiTheme="minorHAnsi" w:hAnsiTheme="minorHAnsi" w:cstheme="minorHAnsi"/>
          <w:sz w:val="22"/>
          <w:szCs w:val="22"/>
        </w:rPr>
        <w:t xml:space="preserve">for progress </w:t>
      </w:r>
      <w:r w:rsidR="00B61CC5">
        <w:rPr>
          <w:rFonts w:asciiTheme="minorHAnsi" w:hAnsiTheme="minorHAnsi" w:cstheme="minorHAnsi"/>
          <w:sz w:val="22"/>
          <w:szCs w:val="22"/>
        </w:rPr>
        <w:t>for the different sections of the strategy.</w:t>
      </w:r>
    </w:p>
    <w:p w:rsidR="00407C53" w:rsidRDefault="00407C53" w:rsidP="003B2592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Develop a </w:t>
      </w:r>
      <w:r w:rsidRPr="00407C53">
        <w:rPr>
          <w:rFonts w:asciiTheme="minorHAnsi" w:hAnsiTheme="minorHAnsi" w:cstheme="minorHAnsi"/>
          <w:sz w:val="22"/>
          <w:szCs w:val="22"/>
        </w:rPr>
        <w:t>skeleton</w:t>
      </w:r>
      <w:r w:rsidR="00215576">
        <w:rPr>
          <w:rFonts w:asciiTheme="minorHAnsi" w:hAnsiTheme="minorHAnsi" w:cstheme="minorHAnsi"/>
          <w:sz w:val="22"/>
          <w:szCs w:val="22"/>
        </w:rPr>
        <w:t xml:space="preserve"> for a national REDD+ strategy and</w:t>
      </w:r>
      <w:r>
        <w:rPr>
          <w:rFonts w:asciiTheme="minorHAnsi" w:hAnsiTheme="minorHAnsi" w:cstheme="minorHAnsi"/>
          <w:sz w:val="22"/>
          <w:szCs w:val="22"/>
        </w:rPr>
        <w:t xml:space="preserve"> clarify the outline and missing pieces.</w:t>
      </w:r>
    </w:p>
    <w:p w:rsidR="00B435BB" w:rsidRDefault="00B435BB" w:rsidP="003B2592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Monitor and when necessary support the Technical Teams on their deliverables according to the timeline.</w:t>
      </w:r>
    </w:p>
    <w:p w:rsidR="00B61CC5" w:rsidRDefault="006E2DC2" w:rsidP="003B2592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Plan </w:t>
      </w:r>
      <w:r w:rsidR="00B61CC5">
        <w:rPr>
          <w:rFonts w:asciiTheme="minorHAnsi" w:hAnsiTheme="minorHAnsi" w:cstheme="minorHAnsi"/>
          <w:sz w:val="22"/>
          <w:szCs w:val="22"/>
        </w:rPr>
        <w:t xml:space="preserve">and conducting a series of consultation meetings </w:t>
      </w:r>
      <w:r w:rsidR="009845E0">
        <w:rPr>
          <w:rFonts w:asciiTheme="minorHAnsi" w:hAnsiTheme="minorHAnsi" w:cstheme="minorHAnsi"/>
          <w:sz w:val="22"/>
          <w:szCs w:val="22"/>
        </w:rPr>
        <w:t xml:space="preserve">as the work progress </w:t>
      </w:r>
      <w:r w:rsidR="00B61CC5">
        <w:rPr>
          <w:rFonts w:asciiTheme="minorHAnsi" w:hAnsiTheme="minorHAnsi" w:cstheme="minorHAnsi"/>
          <w:sz w:val="22"/>
          <w:szCs w:val="22"/>
        </w:rPr>
        <w:t>and present the draft national strategy for the consideration of the Consultation Group</w:t>
      </w:r>
      <w:r w:rsidR="009845E0">
        <w:rPr>
          <w:rFonts w:asciiTheme="minorHAnsi" w:hAnsiTheme="minorHAnsi" w:cstheme="minorHAnsi"/>
          <w:sz w:val="22"/>
          <w:szCs w:val="22"/>
        </w:rPr>
        <w:t>.</w:t>
      </w:r>
      <w:r w:rsidR="00B61CC5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B61CC5" w:rsidRDefault="00B61CC5" w:rsidP="003B2592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Work closely with REDD+ Taskforce to allow for their active participation in the development of the national REDD+ strategy. This could be at regular taskforce meeting but most likely also outside meetings. </w:t>
      </w:r>
    </w:p>
    <w:p w:rsidR="006E2DC2" w:rsidRDefault="00407C53" w:rsidP="003B2592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Produce an</w:t>
      </w:r>
      <w:r w:rsidR="006E2DC2">
        <w:rPr>
          <w:rFonts w:asciiTheme="minorHAnsi" w:hAnsiTheme="minorHAnsi" w:cstheme="minorHAnsi"/>
          <w:sz w:val="22"/>
          <w:szCs w:val="22"/>
        </w:rPr>
        <w:t xml:space="preserve"> initial draft national REDD+ strategy including mitigation of any short falls in deliverables from technical teams. </w:t>
      </w:r>
    </w:p>
    <w:p w:rsidR="00B61CC5" w:rsidRDefault="00B61CC5" w:rsidP="003B2592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Ensure relevant ministries and line agencies are informed about the development of the national REDD+ strategy.</w:t>
      </w:r>
    </w:p>
    <w:p w:rsidR="00B61CC5" w:rsidRDefault="00B435BB" w:rsidP="003B2592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Ensure through reporting that the National Project Director, the National Project Manager, the Technical Specialist and the REDD+ Taskforce Secretariat are informed about progress. </w:t>
      </w:r>
    </w:p>
    <w:p w:rsidR="00407C53" w:rsidRDefault="00407C53" w:rsidP="003B2592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Produce a draft national REDD+ strategy including</w:t>
      </w:r>
      <w:r w:rsidR="009845E0">
        <w:rPr>
          <w:rFonts w:asciiTheme="minorHAnsi" w:hAnsiTheme="minorHAnsi" w:cstheme="minorHAnsi"/>
          <w:sz w:val="22"/>
          <w:szCs w:val="22"/>
        </w:rPr>
        <w:t xml:space="preserve"> considerations for comments and</w:t>
      </w:r>
      <w:r>
        <w:rPr>
          <w:rFonts w:asciiTheme="minorHAnsi" w:hAnsiTheme="minorHAnsi" w:cstheme="minorHAnsi"/>
          <w:sz w:val="22"/>
          <w:szCs w:val="22"/>
        </w:rPr>
        <w:t xml:space="preserve"> suggestions received during consultation.</w:t>
      </w:r>
    </w:p>
    <w:p w:rsidR="00B435BB" w:rsidRDefault="00407C53" w:rsidP="003B2592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Support</w:t>
      </w:r>
      <w:r w:rsidR="00B435BB">
        <w:rPr>
          <w:rFonts w:asciiTheme="minorHAnsi" w:hAnsiTheme="minorHAnsi" w:cstheme="minorHAnsi"/>
          <w:sz w:val="22"/>
          <w:szCs w:val="22"/>
        </w:rPr>
        <w:t xml:space="preserve"> reporting on progress as requested including through newsletter, website communication.</w:t>
      </w:r>
    </w:p>
    <w:p w:rsidR="00B61CC5" w:rsidRDefault="00B61CC5" w:rsidP="00B61CC5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:rsidR="00FE4E61" w:rsidRPr="0050132A" w:rsidRDefault="00FE4E61" w:rsidP="003B2592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:rsidR="00DC7292" w:rsidRPr="0050132A" w:rsidRDefault="00DC7292" w:rsidP="00DC7292">
      <w:pPr>
        <w:pStyle w:val="Heading1"/>
        <w:numPr>
          <w:ilvl w:val="0"/>
          <w:numId w:val="0"/>
        </w:numPr>
        <w:spacing w:before="0" w:after="0"/>
        <w:rPr>
          <w:rFonts w:asciiTheme="minorHAnsi" w:hAnsiTheme="minorHAnsi" w:cstheme="minorHAnsi"/>
          <w:i/>
          <w:iCs/>
          <w:color w:val="000099"/>
          <w:kern w:val="0"/>
          <w:sz w:val="22"/>
          <w:szCs w:val="22"/>
          <w:u w:val="single"/>
        </w:rPr>
      </w:pPr>
      <w:r w:rsidRPr="0050132A">
        <w:rPr>
          <w:rFonts w:asciiTheme="minorHAnsi" w:hAnsiTheme="minorHAnsi" w:cstheme="minorHAnsi"/>
          <w:i/>
          <w:iCs/>
          <w:color w:val="000099"/>
          <w:kern w:val="0"/>
          <w:sz w:val="22"/>
          <w:szCs w:val="22"/>
          <w:u w:val="single"/>
        </w:rPr>
        <w:t>Expected Outputs and Deliverables:</w:t>
      </w:r>
    </w:p>
    <w:p w:rsidR="00DC7292" w:rsidRPr="0050132A" w:rsidRDefault="00DC7292" w:rsidP="00DC7292">
      <w:pPr>
        <w:rPr>
          <w:rFonts w:asciiTheme="minorHAnsi" w:hAnsiTheme="minorHAnsi" w:cstheme="minorHAnsi"/>
          <w:sz w:val="22"/>
          <w:szCs w:val="22"/>
          <w:lang w:eastAsia="ja-JP"/>
        </w:rPr>
      </w:pPr>
    </w:p>
    <w:p w:rsidR="00725DE0" w:rsidRDefault="00B435BB" w:rsidP="003C082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82EF2">
        <w:rPr>
          <w:rFonts w:asciiTheme="minorHAnsi" w:hAnsiTheme="minorHAnsi" w:cs="Arial"/>
          <w:iCs/>
          <w:sz w:val="22"/>
          <w:szCs w:val="22"/>
        </w:rPr>
        <w:t xml:space="preserve">A </w:t>
      </w:r>
      <w:r>
        <w:rPr>
          <w:rFonts w:asciiTheme="minorHAnsi" w:hAnsiTheme="minorHAnsi" w:cs="Arial"/>
          <w:iCs/>
          <w:sz w:val="22"/>
          <w:szCs w:val="22"/>
        </w:rPr>
        <w:t xml:space="preserve">timeline with milestones for the development of a national </w:t>
      </w:r>
      <w:r w:rsidRPr="00782EF2">
        <w:rPr>
          <w:rFonts w:asciiTheme="minorHAnsi" w:hAnsiTheme="minorHAnsi" w:cs="Arial"/>
          <w:iCs/>
          <w:sz w:val="22"/>
          <w:szCs w:val="22"/>
        </w:rPr>
        <w:t xml:space="preserve">REDD+ </w:t>
      </w:r>
      <w:r>
        <w:rPr>
          <w:rFonts w:asciiTheme="minorHAnsi" w:hAnsiTheme="minorHAnsi" w:cs="Arial"/>
          <w:iCs/>
          <w:sz w:val="22"/>
          <w:szCs w:val="22"/>
        </w:rPr>
        <w:t>strategy</w:t>
      </w:r>
      <w:r w:rsidR="00E55A99" w:rsidRPr="0050132A">
        <w:rPr>
          <w:rFonts w:asciiTheme="minorHAnsi" w:hAnsiTheme="minorHAnsi" w:cstheme="minorHAnsi"/>
          <w:sz w:val="22"/>
          <w:szCs w:val="22"/>
        </w:rPr>
        <w:t>;</w:t>
      </w:r>
      <w:r w:rsidR="00725DE0" w:rsidRPr="0050132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15576" w:rsidRDefault="00B435BB" w:rsidP="00B435BB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A </w:t>
      </w:r>
      <w:r w:rsidR="00215576">
        <w:rPr>
          <w:rFonts w:asciiTheme="minorHAnsi" w:hAnsiTheme="minorHAnsi" w:cstheme="minorHAnsi"/>
          <w:sz w:val="22"/>
          <w:szCs w:val="22"/>
        </w:rPr>
        <w:t>s</w:t>
      </w:r>
      <w:r w:rsidR="00215576" w:rsidRPr="00407C53">
        <w:rPr>
          <w:rFonts w:asciiTheme="minorHAnsi" w:hAnsiTheme="minorHAnsi" w:cstheme="minorHAnsi"/>
          <w:sz w:val="22"/>
          <w:szCs w:val="22"/>
        </w:rPr>
        <w:t>keleton</w:t>
      </w:r>
      <w:r w:rsidR="00215576">
        <w:rPr>
          <w:rFonts w:asciiTheme="minorHAnsi" w:hAnsiTheme="minorHAnsi" w:cstheme="minorHAnsi"/>
          <w:sz w:val="22"/>
          <w:szCs w:val="22"/>
        </w:rPr>
        <w:t xml:space="preserve"> for a national REDD+ strategy</w:t>
      </w:r>
      <w:r w:rsidR="00215576">
        <w:rPr>
          <w:rFonts w:asciiTheme="minorHAnsi" w:hAnsiTheme="minorHAnsi" w:cs="Arial"/>
          <w:iCs/>
          <w:sz w:val="22"/>
          <w:szCs w:val="22"/>
        </w:rPr>
        <w:t xml:space="preserve"> </w:t>
      </w:r>
      <w:r>
        <w:rPr>
          <w:rFonts w:asciiTheme="minorHAnsi" w:hAnsiTheme="minorHAnsi" w:cs="Arial"/>
          <w:iCs/>
          <w:sz w:val="22"/>
          <w:szCs w:val="22"/>
        </w:rPr>
        <w:t xml:space="preserve">plan </w:t>
      </w:r>
      <w:r w:rsidR="00215576">
        <w:rPr>
          <w:rFonts w:asciiTheme="minorHAnsi" w:hAnsiTheme="minorHAnsi" w:cs="Arial"/>
          <w:iCs/>
          <w:sz w:val="22"/>
          <w:szCs w:val="22"/>
        </w:rPr>
        <w:t>with chapters and overview of missing pieces and how they will be produced;</w:t>
      </w:r>
    </w:p>
    <w:p w:rsidR="00215576" w:rsidRPr="00C021EE" w:rsidRDefault="00215576" w:rsidP="00215576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 initial draft national REDD+ strategy ready for further consultation and updated timeline for missing parts;</w:t>
      </w:r>
    </w:p>
    <w:p w:rsidR="00215576" w:rsidRDefault="00215576" w:rsidP="00215576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Consultation plan and </w:t>
      </w:r>
      <w:r>
        <w:rPr>
          <w:rFonts w:asciiTheme="minorHAnsi" w:hAnsiTheme="minorHAnsi" w:cstheme="minorHAnsi"/>
          <w:sz w:val="22"/>
          <w:szCs w:val="22"/>
        </w:rPr>
        <w:t>report on consultation according to consultation plan;</w:t>
      </w:r>
    </w:p>
    <w:p w:rsidR="00B435BB" w:rsidRPr="00782EF2" w:rsidRDefault="00B435BB" w:rsidP="00B435BB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Regular reporting on progress on all the activities mentioned above to the REDD+ Taskforce</w:t>
      </w:r>
      <w:r w:rsidR="00215576">
        <w:rPr>
          <w:rFonts w:asciiTheme="minorHAnsi" w:hAnsiTheme="minorHAnsi" w:cs="Arial"/>
          <w:iCs/>
          <w:sz w:val="22"/>
          <w:szCs w:val="22"/>
        </w:rPr>
        <w:t>;</w:t>
      </w:r>
    </w:p>
    <w:p w:rsidR="00B435BB" w:rsidRPr="006B34AA" w:rsidRDefault="00B435BB" w:rsidP="006B34AA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A draft national REDD+ strategy. </w:t>
      </w:r>
    </w:p>
    <w:p w:rsidR="0076465C" w:rsidRPr="0050132A" w:rsidRDefault="0076465C" w:rsidP="0076465C">
      <w:pPr>
        <w:pStyle w:val="ListParagraph"/>
        <w:autoSpaceDE w:val="0"/>
        <w:autoSpaceDN w:val="0"/>
        <w:adjustRightInd w:val="0"/>
        <w:spacing w:after="22"/>
        <w:ind w:left="1080"/>
        <w:rPr>
          <w:rFonts w:asciiTheme="minorHAnsi" w:hAnsiTheme="minorHAnsi" w:cstheme="minorHAnsi"/>
          <w:color w:val="000000"/>
          <w:sz w:val="22"/>
          <w:szCs w:val="22"/>
          <w:lang w:bidi="km-KH"/>
        </w:rPr>
      </w:pPr>
    </w:p>
    <w:p w:rsidR="00DC7292" w:rsidRPr="0050132A" w:rsidRDefault="00DC7292" w:rsidP="00DC7292">
      <w:pPr>
        <w:pStyle w:val="Heading1"/>
        <w:numPr>
          <w:ilvl w:val="0"/>
          <w:numId w:val="0"/>
        </w:numPr>
        <w:spacing w:before="0" w:after="0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50132A">
        <w:rPr>
          <w:rFonts w:asciiTheme="minorHAnsi" w:hAnsiTheme="minorHAnsi" w:cstheme="minorHAnsi"/>
          <w:i/>
          <w:iCs/>
          <w:color w:val="000099"/>
          <w:kern w:val="0"/>
          <w:sz w:val="22"/>
          <w:szCs w:val="22"/>
          <w:u w:val="single"/>
        </w:rPr>
        <w:t>Supervision, teamwork and administrative support:</w:t>
      </w:r>
    </w:p>
    <w:p w:rsidR="00DC7292" w:rsidRPr="0050132A" w:rsidRDefault="00DC7292" w:rsidP="00DC7292">
      <w:pPr>
        <w:jc w:val="both"/>
        <w:rPr>
          <w:rFonts w:asciiTheme="minorHAnsi" w:eastAsia="Arial Unicode MS" w:hAnsiTheme="minorHAnsi" w:cstheme="minorHAnsi"/>
          <w:color w:val="000000"/>
          <w:sz w:val="22"/>
          <w:szCs w:val="22"/>
        </w:rPr>
      </w:pPr>
    </w:p>
    <w:p w:rsidR="00407C53" w:rsidRDefault="00C021EE" w:rsidP="00DC729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color w:val="000000"/>
          <w:sz w:val="22"/>
          <w:szCs w:val="22"/>
        </w:rPr>
        <w:t>The C</w:t>
      </w:r>
      <w:r w:rsidR="00DC7292" w:rsidRPr="0050132A">
        <w:rPr>
          <w:rFonts w:asciiTheme="minorHAnsi" w:eastAsia="Arial Unicode MS" w:hAnsiTheme="minorHAnsi" w:cstheme="minorHAnsi"/>
          <w:color w:val="000000"/>
          <w:sz w:val="22"/>
          <w:szCs w:val="22"/>
        </w:rPr>
        <w:t>onsultant</w:t>
      </w:r>
      <w:r w:rsidR="00407C53">
        <w:rPr>
          <w:rFonts w:asciiTheme="minorHAnsi" w:eastAsia="Arial Unicode MS" w:hAnsiTheme="minorHAnsi" w:cstheme="minorHAnsi"/>
          <w:color w:val="000000"/>
          <w:sz w:val="22"/>
          <w:szCs w:val="22"/>
        </w:rPr>
        <w:t xml:space="preserve"> will </w:t>
      </w:r>
      <w:r w:rsidR="00DC7292" w:rsidRPr="0050132A">
        <w:rPr>
          <w:rFonts w:asciiTheme="minorHAnsi" w:eastAsia="Arial Unicode MS" w:hAnsiTheme="minorHAnsi" w:cstheme="minorHAnsi"/>
          <w:color w:val="000000"/>
          <w:sz w:val="22"/>
          <w:szCs w:val="22"/>
        </w:rPr>
        <w:t xml:space="preserve">report </w:t>
      </w:r>
      <w:r w:rsidR="009845E0">
        <w:rPr>
          <w:rFonts w:asciiTheme="minorHAnsi" w:eastAsia="Arial Unicode MS" w:hAnsiTheme="minorHAnsi" w:cstheme="minorHAnsi"/>
          <w:color w:val="000000"/>
          <w:sz w:val="22"/>
          <w:szCs w:val="22"/>
        </w:rPr>
        <w:t xml:space="preserve">on a monthly basis on progress </w:t>
      </w:r>
      <w:r w:rsidR="00DC7292" w:rsidRPr="0050132A">
        <w:rPr>
          <w:rFonts w:asciiTheme="minorHAnsi" w:eastAsia="Arial Unicode MS" w:hAnsiTheme="minorHAnsi" w:cstheme="minorHAnsi"/>
          <w:color w:val="000000"/>
          <w:sz w:val="22"/>
          <w:szCs w:val="22"/>
        </w:rPr>
        <w:t xml:space="preserve">to the </w:t>
      </w:r>
      <w:r w:rsidR="00B435BB">
        <w:rPr>
          <w:rFonts w:asciiTheme="minorHAnsi" w:eastAsia="Arial Unicode MS" w:hAnsiTheme="minorHAnsi" w:cstheme="minorHAnsi"/>
          <w:color w:val="000000"/>
          <w:sz w:val="22"/>
          <w:szCs w:val="22"/>
        </w:rPr>
        <w:t>FCPF National Project</w:t>
      </w:r>
      <w:r w:rsidR="00DC7292" w:rsidRPr="0050132A">
        <w:rPr>
          <w:rFonts w:asciiTheme="minorHAnsi" w:eastAsia="Arial Unicode MS" w:hAnsiTheme="minorHAnsi" w:cstheme="minorHAnsi"/>
          <w:color w:val="000000"/>
          <w:sz w:val="22"/>
          <w:szCs w:val="22"/>
        </w:rPr>
        <w:t xml:space="preserve"> Director and </w:t>
      </w:r>
      <w:r w:rsidR="00B435BB">
        <w:rPr>
          <w:rFonts w:asciiTheme="minorHAnsi" w:eastAsia="Arial Unicode MS" w:hAnsiTheme="minorHAnsi" w:cstheme="minorHAnsi"/>
          <w:color w:val="000000"/>
          <w:sz w:val="22"/>
          <w:szCs w:val="22"/>
        </w:rPr>
        <w:t xml:space="preserve">on day-to-day basis </w:t>
      </w:r>
      <w:r w:rsidR="00DC7292" w:rsidRPr="0050132A">
        <w:rPr>
          <w:rFonts w:asciiTheme="minorHAnsi" w:eastAsia="Arial Unicode MS" w:hAnsiTheme="minorHAnsi" w:cstheme="minorHAnsi"/>
          <w:color w:val="000000"/>
          <w:sz w:val="22"/>
          <w:szCs w:val="22"/>
        </w:rPr>
        <w:t xml:space="preserve">be supervised by </w:t>
      </w:r>
      <w:r w:rsidR="00B435BB">
        <w:rPr>
          <w:rFonts w:asciiTheme="minorHAnsi" w:hAnsiTheme="minorHAnsi" w:cstheme="minorHAnsi"/>
          <w:sz w:val="22"/>
          <w:szCs w:val="22"/>
        </w:rPr>
        <w:t>the Technical Specialist.</w:t>
      </w:r>
    </w:p>
    <w:p w:rsidR="00C021EE" w:rsidRDefault="00C021EE" w:rsidP="00DC729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021EE" w:rsidRPr="00C021EE" w:rsidRDefault="00C021EE" w:rsidP="00C021EE">
      <w:pPr>
        <w:jc w:val="both"/>
        <w:rPr>
          <w:rFonts w:asciiTheme="minorHAnsi" w:hAnsiTheme="minorHAnsi" w:cstheme="minorHAnsi"/>
          <w:b/>
          <w:bCs/>
          <w:i/>
          <w:iCs/>
          <w:color w:val="000099"/>
          <w:sz w:val="22"/>
          <w:szCs w:val="22"/>
          <w:u w:val="single"/>
        </w:rPr>
      </w:pPr>
      <w:r w:rsidRPr="00C021EE">
        <w:rPr>
          <w:rFonts w:asciiTheme="minorHAnsi" w:hAnsiTheme="minorHAnsi" w:cstheme="minorHAnsi"/>
          <w:b/>
          <w:bCs/>
          <w:i/>
          <w:iCs/>
          <w:color w:val="000099"/>
          <w:sz w:val="22"/>
          <w:szCs w:val="22"/>
          <w:u w:val="single"/>
        </w:rPr>
        <w:t>Duty Station</w:t>
      </w:r>
    </w:p>
    <w:p w:rsidR="00C021EE" w:rsidRPr="00C578E5" w:rsidRDefault="00C021EE" w:rsidP="00C021EE">
      <w:pPr>
        <w:pStyle w:val="BodyText2"/>
        <w:ind w:right="70"/>
        <w:rPr>
          <w:rFonts w:ascii="Times New Roman" w:eastAsia="Calibri" w:hAnsi="Times New Roman"/>
          <w:lang w:val="en-GB"/>
        </w:rPr>
      </w:pPr>
    </w:p>
    <w:p w:rsidR="00C021EE" w:rsidRPr="00C021EE" w:rsidRDefault="00C021EE" w:rsidP="00C021E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C</w:t>
      </w:r>
      <w:r w:rsidRPr="00C021EE">
        <w:rPr>
          <w:rFonts w:asciiTheme="minorHAnsi" w:hAnsiTheme="minorHAnsi" w:cstheme="minorHAnsi"/>
          <w:sz w:val="22"/>
          <w:szCs w:val="22"/>
        </w:rPr>
        <w:t xml:space="preserve">onsultant will be hosted at the REDD+ Taskforce Secretariat. Travelling costs in Phnom Penh will be borne by the consultant. </w:t>
      </w:r>
    </w:p>
    <w:p w:rsidR="00C021EE" w:rsidRPr="0050132A" w:rsidRDefault="00C021EE" w:rsidP="00DC729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021EE" w:rsidRPr="0050132A" w:rsidRDefault="00C021EE" w:rsidP="00C021EE">
      <w:pPr>
        <w:jc w:val="both"/>
        <w:rPr>
          <w:rFonts w:asciiTheme="minorHAnsi" w:hAnsiTheme="minorHAnsi" w:cstheme="minorHAnsi"/>
          <w:b/>
          <w:bCs/>
          <w:i/>
          <w:iCs/>
          <w:color w:val="000099"/>
          <w:sz w:val="22"/>
          <w:szCs w:val="22"/>
          <w:u w:val="single"/>
        </w:rPr>
      </w:pPr>
      <w:r w:rsidRPr="0050132A">
        <w:rPr>
          <w:rFonts w:asciiTheme="minorHAnsi" w:hAnsiTheme="minorHAnsi" w:cstheme="minorHAnsi"/>
          <w:b/>
          <w:bCs/>
          <w:i/>
          <w:iCs/>
          <w:color w:val="000099"/>
          <w:sz w:val="22"/>
          <w:szCs w:val="22"/>
          <w:u w:val="single"/>
        </w:rPr>
        <w:t>Monitoring and Progress Control</w:t>
      </w:r>
    </w:p>
    <w:p w:rsidR="00C021EE" w:rsidRPr="0050132A" w:rsidRDefault="00C021EE" w:rsidP="00C021E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021EE" w:rsidRPr="0050132A" w:rsidRDefault="00C021EE" w:rsidP="00C021EE">
      <w:pPr>
        <w:jc w:val="both"/>
        <w:rPr>
          <w:rFonts w:asciiTheme="minorHAnsi" w:hAnsiTheme="minorHAnsi" w:cstheme="minorHAnsi"/>
          <w:sz w:val="22"/>
          <w:szCs w:val="22"/>
        </w:rPr>
      </w:pPr>
      <w:r w:rsidRPr="0050132A">
        <w:rPr>
          <w:rFonts w:asciiTheme="minorHAnsi" w:hAnsiTheme="minorHAnsi" w:cstheme="minorHAnsi"/>
          <w:sz w:val="22"/>
          <w:szCs w:val="22"/>
        </w:rPr>
        <w:t>The Consultant will be accountable for timely and quality outputs and report monthly to the REDD+ Taskforce Secretariat on progress compared to the work plan.</w:t>
      </w:r>
    </w:p>
    <w:p w:rsidR="00C021EE" w:rsidRPr="0050132A" w:rsidRDefault="00C021EE" w:rsidP="00C021EE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C021EE" w:rsidRPr="0050132A" w:rsidRDefault="00C021EE" w:rsidP="00C021EE">
      <w:pPr>
        <w:jc w:val="both"/>
        <w:rPr>
          <w:rFonts w:asciiTheme="minorHAnsi" w:hAnsiTheme="minorHAnsi" w:cstheme="minorHAnsi"/>
          <w:b/>
          <w:bCs/>
          <w:i/>
          <w:iCs/>
          <w:color w:val="000099"/>
          <w:sz w:val="22"/>
          <w:szCs w:val="22"/>
          <w:u w:val="single"/>
        </w:rPr>
      </w:pPr>
      <w:r w:rsidRPr="0050132A">
        <w:rPr>
          <w:rFonts w:asciiTheme="minorHAnsi" w:hAnsiTheme="minorHAnsi" w:cstheme="minorHAnsi"/>
          <w:b/>
          <w:bCs/>
          <w:i/>
          <w:iCs/>
          <w:color w:val="000099"/>
          <w:sz w:val="22"/>
          <w:szCs w:val="22"/>
          <w:u w:val="single"/>
        </w:rPr>
        <w:t>Payment milestones</w:t>
      </w:r>
    </w:p>
    <w:p w:rsidR="00C021EE" w:rsidRPr="0050132A" w:rsidRDefault="00C021EE" w:rsidP="00C021E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021EE" w:rsidRPr="0050132A" w:rsidRDefault="00C021EE" w:rsidP="00C021EE">
      <w:pPr>
        <w:jc w:val="both"/>
        <w:rPr>
          <w:rFonts w:asciiTheme="minorHAnsi" w:hAnsiTheme="minorHAnsi" w:cstheme="minorHAnsi"/>
          <w:sz w:val="22"/>
          <w:szCs w:val="22"/>
        </w:rPr>
      </w:pPr>
      <w:r w:rsidRPr="0050132A">
        <w:rPr>
          <w:rFonts w:asciiTheme="minorHAnsi" w:hAnsiTheme="minorHAnsi" w:cstheme="minorHAnsi"/>
          <w:sz w:val="22"/>
          <w:szCs w:val="22"/>
        </w:rPr>
        <w:t>The Consultant will be paid on a lump sum basis under the following installments</w:t>
      </w:r>
    </w:p>
    <w:p w:rsidR="00C021EE" w:rsidRPr="0050132A" w:rsidRDefault="00C021EE" w:rsidP="00C021EE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132A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50132A">
        <w:rPr>
          <w:rFonts w:asciiTheme="minorHAnsi" w:hAnsiTheme="minorHAnsi" w:cstheme="minorHAnsi"/>
          <w:sz w:val="22"/>
          <w:szCs w:val="22"/>
        </w:rPr>
        <w:t>0 %)  1st payment, upon satisfactory submission of a work plan for the assignment</w:t>
      </w:r>
      <w:r w:rsidR="00215576">
        <w:rPr>
          <w:rFonts w:asciiTheme="minorHAnsi" w:hAnsiTheme="minorHAnsi" w:cstheme="minorHAnsi"/>
          <w:sz w:val="22"/>
          <w:szCs w:val="22"/>
        </w:rPr>
        <w:t>;</w:t>
      </w:r>
    </w:p>
    <w:p w:rsidR="00C021EE" w:rsidRPr="00C021EE" w:rsidRDefault="00C021EE" w:rsidP="00C021EE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132A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 xml:space="preserve">20 %) </w:t>
      </w:r>
      <w:r w:rsidRPr="0050132A">
        <w:rPr>
          <w:rFonts w:asciiTheme="minorHAnsi" w:hAnsiTheme="minorHAnsi" w:cstheme="minorHAnsi"/>
          <w:sz w:val="22"/>
          <w:szCs w:val="22"/>
        </w:rPr>
        <w:t xml:space="preserve">2nd payment, upon satisfactory submission of </w:t>
      </w:r>
      <w:r w:rsidRPr="0050132A">
        <w:rPr>
          <w:rFonts w:asciiTheme="minorHAnsi" w:hAnsiTheme="minorHAnsi" w:cstheme="minorHAnsi"/>
          <w:color w:val="000000"/>
          <w:sz w:val="22"/>
          <w:szCs w:val="22"/>
          <w:lang w:bidi="km-KH"/>
        </w:rPr>
        <w:t>a</w:t>
      </w:r>
      <w:r>
        <w:rPr>
          <w:rFonts w:asciiTheme="minorHAnsi" w:hAnsiTheme="minorHAnsi" w:cstheme="minorHAnsi"/>
          <w:color w:val="000000"/>
          <w:sz w:val="22"/>
          <w:szCs w:val="22"/>
          <w:lang w:bidi="km-KH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07C53">
        <w:rPr>
          <w:rFonts w:asciiTheme="minorHAnsi" w:hAnsiTheme="minorHAnsi" w:cstheme="minorHAnsi"/>
          <w:sz w:val="22"/>
          <w:szCs w:val="22"/>
        </w:rPr>
        <w:t>keleton</w:t>
      </w:r>
      <w:r>
        <w:rPr>
          <w:rFonts w:asciiTheme="minorHAnsi" w:hAnsiTheme="minorHAnsi" w:cstheme="minorHAnsi"/>
          <w:sz w:val="22"/>
          <w:szCs w:val="22"/>
        </w:rPr>
        <w:t xml:space="preserve"> for a national REDD+ strategy</w:t>
      </w:r>
      <w:r w:rsidR="00215576">
        <w:rPr>
          <w:rFonts w:asciiTheme="minorHAnsi" w:hAnsiTheme="minorHAnsi" w:cstheme="minorHAnsi"/>
          <w:sz w:val="22"/>
          <w:szCs w:val="22"/>
        </w:rPr>
        <w:t xml:space="preserve"> and overview of the process of producing the missing content</w:t>
      </w:r>
      <w:r w:rsidR="00215576">
        <w:rPr>
          <w:rFonts w:asciiTheme="minorHAnsi" w:hAnsiTheme="minorHAnsi" w:cstheme="minorHAnsi"/>
          <w:color w:val="000000"/>
          <w:sz w:val="22"/>
          <w:szCs w:val="22"/>
          <w:lang w:bidi="km-KH"/>
        </w:rPr>
        <w:t>;</w:t>
      </w:r>
    </w:p>
    <w:p w:rsidR="00C021EE" w:rsidRPr="00C021EE" w:rsidRDefault="00C021EE" w:rsidP="00C021EE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021EE">
        <w:rPr>
          <w:rFonts w:asciiTheme="minorHAnsi" w:hAnsiTheme="minorHAnsi" w:cstheme="minorHAnsi"/>
          <w:sz w:val="22"/>
          <w:szCs w:val="22"/>
        </w:rPr>
        <w:t xml:space="preserve">(20 %) </w:t>
      </w:r>
      <w:proofErr w:type="spellStart"/>
      <w:r w:rsidRPr="00C021EE">
        <w:rPr>
          <w:rFonts w:asciiTheme="minorHAnsi" w:hAnsiTheme="minorHAnsi" w:cstheme="minorHAnsi"/>
          <w:sz w:val="22"/>
          <w:szCs w:val="22"/>
        </w:rPr>
        <w:t>3nd</w:t>
      </w:r>
      <w:proofErr w:type="spellEnd"/>
      <w:r w:rsidRPr="00C021EE">
        <w:rPr>
          <w:rFonts w:asciiTheme="minorHAnsi" w:hAnsiTheme="minorHAnsi" w:cstheme="minorHAnsi"/>
          <w:sz w:val="22"/>
          <w:szCs w:val="22"/>
        </w:rPr>
        <w:t xml:space="preserve"> payment, upon satisfactory submission of </w:t>
      </w:r>
      <w:r w:rsidR="00215576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nitial draft national REDD+ strategy</w:t>
      </w:r>
      <w:r w:rsidR="00215576">
        <w:rPr>
          <w:rFonts w:asciiTheme="minorHAnsi" w:hAnsiTheme="minorHAnsi" w:cstheme="minorHAnsi"/>
          <w:sz w:val="22"/>
          <w:szCs w:val="22"/>
        </w:rPr>
        <w:t xml:space="preserve"> and updated timeline for missing parts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C021EE" w:rsidRDefault="00C021EE" w:rsidP="00C021EE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021EE">
        <w:rPr>
          <w:rFonts w:asciiTheme="minorHAnsi" w:hAnsiTheme="minorHAnsi" w:cstheme="minorHAnsi"/>
          <w:sz w:val="22"/>
          <w:szCs w:val="22"/>
        </w:rPr>
        <w:t xml:space="preserve">(20 %) 4th payment, upon the satisfactory submission of </w:t>
      </w:r>
      <w:r w:rsidR="00215576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>eport on consultation according to consultation plan;</w:t>
      </w:r>
    </w:p>
    <w:p w:rsidR="00C021EE" w:rsidRPr="00C021EE" w:rsidRDefault="00C021EE" w:rsidP="00C021EE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021EE">
        <w:rPr>
          <w:rFonts w:asciiTheme="minorHAnsi" w:hAnsiTheme="minorHAnsi" w:cstheme="minorHAnsi"/>
          <w:sz w:val="22"/>
          <w:szCs w:val="22"/>
        </w:rPr>
        <w:t>(30 %) 5th</w:t>
      </w:r>
      <w:r>
        <w:rPr>
          <w:rFonts w:asciiTheme="minorHAnsi" w:hAnsiTheme="minorHAnsi" w:cstheme="minorHAnsi"/>
          <w:sz w:val="22"/>
          <w:szCs w:val="22"/>
        </w:rPr>
        <w:t xml:space="preserve"> payment</w:t>
      </w:r>
      <w:r w:rsidRPr="00C021EE">
        <w:rPr>
          <w:rFonts w:asciiTheme="minorHAnsi" w:hAnsiTheme="minorHAnsi" w:cstheme="minorHAnsi"/>
          <w:sz w:val="22"/>
          <w:szCs w:val="22"/>
        </w:rPr>
        <w:t xml:space="preserve">, upon the satisfactory submission of </w:t>
      </w:r>
      <w:r>
        <w:rPr>
          <w:rFonts w:asciiTheme="minorHAnsi" w:hAnsiTheme="minorHAnsi" w:cstheme="minorHAnsi"/>
          <w:sz w:val="22"/>
          <w:szCs w:val="22"/>
        </w:rPr>
        <w:t>the</w:t>
      </w:r>
      <w:r w:rsidRPr="00C021E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final draft national REDD+ strategy</w:t>
      </w:r>
      <w:r w:rsidR="00215576">
        <w:rPr>
          <w:rFonts w:asciiTheme="minorHAnsi" w:hAnsiTheme="minorHAnsi" w:cstheme="minorHAnsi"/>
          <w:sz w:val="22"/>
          <w:szCs w:val="22"/>
        </w:rPr>
        <w:t>.</w:t>
      </w:r>
    </w:p>
    <w:p w:rsidR="003C082B" w:rsidRPr="00C021EE" w:rsidRDefault="003C082B" w:rsidP="00C021E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6465C" w:rsidRPr="0050132A" w:rsidRDefault="0076465C" w:rsidP="0076465C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2"/>
        <w:gridCol w:w="2786"/>
        <w:gridCol w:w="1541"/>
        <w:gridCol w:w="2283"/>
        <w:gridCol w:w="1541"/>
      </w:tblGrid>
      <w:tr w:rsidR="0076465C" w:rsidRPr="0050132A" w:rsidTr="00023B00">
        <w:tc>
          <w:tcPr>
            <w:tcW w:w="372" w:type="dxa"/>
          </w:tcPr>
          <w:p w:rsidR="0076465C" w:rsidRPr="0050132A" w:rsidRDefault="0076465C" w:rsidP="007C569D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132A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2786" w:type="dxa"/>
          </w:tcPr>
          <w:p w:rsidR="0076465C" w:rsidRPr="0050132A" w:rsidRDefault="0076465C" w:rsidP="0076465C">
            <w:pPr>
              <w:tabs>
                <w:tab w:val="left" w:pos="45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13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Deliverables/Outputs</w:t>
            </w:r>
          </w:p>
        </w:tc>
        <w:tc>
          <w:tcPr>
            <w:tcW w:w="1541" w:type="dxa"/>
          </w:tcPr>
          <w:p w:rsidR="0076465C" w:rsidRPr="0050132A" w:rsidRDefault="0076465C" w:rsidP="0076465C">
            <w:pPr>
              <w:tabs>
                <w:tab w:val="left" w:pos="45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13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Estimated Duration to Complete</w:t>
            </w:r>
          </w:p>
        </w:tc>
        <w:tc>
          <w:tcPr>
            <w:tcW w:w="2283" w:type="dxa"/>
          </w:tcPr>
          <w:p w:rsidR="0076465C" w:rsidRPr="0050132A" w:rsidRDefault="0076465C" w:rsidP="008F2DF9">
            <w:pPr>
              <w:tabs>
                <w:tab w:val="left" w:pos="45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13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Target Due Dates</w:t>
            </w:r>
          </w:p>
        </w:tc>
        <w:tc>
          <w:tcPr>
            <w:tcW w:w="1541" w:type="dxa"/>
          </w:tcPr>
          <w:p w:rsidR="0076465C" w:rsidRPr="0050132A" w:rsidRDefault="0076465C" w:rsidP="008F2DF9">
            <w:pPr>
              <w:tabs>
                <w:tab w:val="left" w:pos="45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13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Review and Approvals Required</w:t>
            </w:r>
          </w:p>
        </w:tc>
      </w:tr>
      <w:tr w:rsidR="003C082B" w:rsidRPr="0050132A" w:rsidTr="00023B00">
        <w:tc>
          <w:tcPr>
            <w:tcW w:w="372" w:type="dxa"/>
          </w:tcPr>
          <w:p w:rsidR="003C082B" w:rsidRPr="0050132A" w:rsidRDefault="003C082B" w:rsidP="007C569D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132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786" w:type="dxa"/>
          </w:tcPr>
          <w:p w:rsidR="00736543" w:rsidRPr="00736543" w:rsidRDefault="003C082B" w:rsidP="00736543">
            <w:pPr>
              <w:ind w:left="-1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bidi="km-KH"/>
              </w:rPr>
            </w:pPr>
            <w:r w:rsidRPr="00736543">
              <w:rPr>
                <w:rFonts w:asciiTheme="minorHAnsi" w:hAnsiTheme="minorHAnsi" w:cstheme="minorHAnsi"/>
                <w:color w:val="000000"/>
                <w:sz w:val="22"/>
                <w:szCs w:val="22"/>
                <w:lang w:bidi="km-KH"/>
              </w:rPr>
              <w:t xml:space="preserve">Work plan </w:t>
            </w:r>
            <w:r w:rsidR="00736543" w:rsidRPr="00736543">
              <w:rPr>
                <w:rFonts w:asciiTheme="minorHAnsi" w:hAnsiTheme="minorHAnsi" w:cstheme="minorHAnsi"/>
                <w:color w:val="000000"/>
                <w:sz w:val="22"/>
                <w:szCs w:val="22"/>
                <w:lang w:bidi="km-KH"/>
              </w:rPr>
              <w:t xml:space="preserve">for the development of the </w:t>
            </w:r>
            <w:r w:rsidR="00736543" w:rsidRPr="00736543">
              <w:rPr>
                <w:rFonts w:asciiTheme="minorHAnsi" w:hAnsiTheme="minorHAnsi" w:cstheme="minorHAnsi"/>
                <w:color w:val="000000"/>
                <w:sz w:val="22"/>
                <w:szCs w:val="22"/>
                <w:lang w:bidi="km-KH"/>
              </w:rPr>
              <w:lastRenderedPageBreak/>
              <w:t>different section of the national REDD+ strategy.</w:t>
            </w:r>
          </w:p>
          <w:p w:rsidR="003C082B" w:rsidRPr="0050132A" w:rsidRDefault="003C082B" w:rsidP="005F53FB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bidi="km-KH"/>
              </w:rPr>
            </w:pPr>
          </w:p>
        </w:tc>
        <w:tc>
          <w:tcPr>
            <w:tcW w:w="1541" w:type="dxa"/>
          </w:tcPr>
          <w:p w:rsidR="003C082B" w:rsidRPr="0050132A" w:rsidRDefault="00C021EE" w:rsidP="00C021E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30 days</w:t>
            </w:r>
          </w:p>
        </w:tc>
        <w:tc>
          <w:tcPr>
            <w:tcW w:w="2283" w:type="dxa"/>
          </w:tcPr>
          <w:p w:rsidR="003C082B" w:rsidRPr="0050132A" w:rsidRDefault="00407C53" w:rsidP="006F18F9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June</w:t>
            </w:r>
            <w:r w:rsidR="006F18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2641">
              <w:rPr>
                <w:rFonts w:asciiTheme="minorHAnsi" w:hAnsiTheme="minorHAnsi" w:cstheme="minorHAnsi"/>
                <w:sz w:val="22"/>
                <w:szCs w:val="22"/>
              </w:rPr>
              <w:t>2014</w:t>
            </w:r>
          </w:p>
        </w:tc>
        <w:tc>
          <w:tcPr>
            <w:tcW w:w="1541" w:type="dxa"/>
          </w:tcPr>
          <w:p w:rsidR="003C082B" w:rsidRPr="0050132A" w:rsidRDefault="00736543" w:rsidP="003C082B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bidi="km-KH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bidi="km-KH"/>
              </w:rPr>
              <w:t>FCPF</w:t>
            </w:r>
            <w:r w:rsidR="003C082B" w:rsidRPr="0050132A"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bidi="km-KH"/>
              </w:rPr>
              <w:t xml:space="preserve"> NPD</w:t>
            </w:r>
          </w:p>
        </w:tc>
      </w:tr>
      <w:tr w:rsidR="003C082B" w:rsidRPr="0050132A" w:rsidTr="00023B00">
        <w:tc>
          <w:tcPr>
            <w:tcW w:w="372" w:type="dxa"/>
          </w:tcPr>
          <w:p w:rsidR="003C082B" w:rsidRPr="0050132A" w:rsidRDefault="003C082B" w:rsidP="007C569D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132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2786" w:type="dxa"/>
          </w:tcPr>
          <w:p w:rsidR="003C082B" w:rsidRPr="0050132A" w:rsidRDefault="009845E0" w:rsidP="009845E0">
            <w:pPr>
              <w:ind w:left="-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407C53">
              <w:rPr>
                <w:rFonts w:asciiTheme="minorHAnsi" w:hAnsiTheme="minorHAnsi" w:cstheme="minorHAnsi"/>
                <w:sz w:val="22"/>
                <w:szCs w:val="22"/>
              </w:rPr>
              <w:t>keleton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 a national REDD+ strategy</w:t>
            </w:r>
          </w:p>
        </w:tc>
        <w:tc>
          <w:tcPr>
            <w:tcW w:w="1541" w:type="dxa"/>
          </w:tcPr>
          <w:p w:rsidR="003C082B" w:rsidRPr="0050132A" w:rsidRDefault="00C021EE" w:rsidP="00C021E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 days</w:t>
            </w:r>
          </w:p>
        </w:tc>
        <w:tc>
          <w:tcPr>
            <w:tcW w:w="2283" w:type="dxa"/>
          </w:tcPr>
          <w:p w:rsidR="003C082B" w:rsidRPr="0050132A" w:rsidRDefault="009845E0" w:rsidP="000D264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August</w:t>
            </w:r>
            <w:r w:rsidR="000D2641">
              <w:rPr>
                <w:rFonts w:asciiTheme="minorHAnsi" w:hAnsiTheme="minorHAnsi" w:cstheme="minorHAnsi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41" w:type="dxa"/>
          </w:tcPr>
          <w:p w:rsidR="003C082B" w:rsidRPr="0050132A" w:rsidRDefault="00736543" w:rsidP="008F2DF9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bidi="km-KH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bidi="km-KH"/>
              </w:rPr>
              <w:t>FCPF</w:t>
            </w:r>
            <w:r w:rsidR="003C082B" w:rsidRPr="0050132A"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bidi="km-KH"/>
              </w:rPr>
              <w:t xml:space="preserve"> NPD</w:t>
            </w:r>
          </w:p>
          <w:p w:rsidR="003C082B" w:rsidRPr="0050132A" w:rsidRDefault="003C082B" w:rsidP="008F2DF9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bidi="km-KH"/>
              </w:rPr>
            </w:pPr>
          </w:p>
        </w:tc>
      </w:tr>
      <w:tr w:rsidR="003C082B" w:rsidRPr="0050132A" w:rsidTr="00023B00">
        <w:tc>
          <w:tcPr>
            <w:tcW w:w="372" w:type="dxa"/>
          </w:tcPr>
          <w:p w:rsidR="003C082B" w:rsidRPr="0050132A" w:rsidRDefault="003C082B" w:rsidP="007C569D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132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786" w:type="dxa"/>
          </w:tcPr>
          <w:p w:rsidR="003C082B" w:rsidRPr="0050132A" w:rsidRDefault="009845E0" w:rsidP="000D26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Initial draft national REDD+ strategy</w:t>
            </w:r>
            <w:r w:rsidR="00215576">
              <w:rPr>
                <w:rFonts w:asciiTheme="minorHAnsi" w:hAnsiTheme="minorHAnsi" w:cstheme="minorHAnsi"/>
                <w:sz w:val="22"/>
                <w:szCs w:val="22"/>
              </w:rPr>
              <w:t xml:space="preserve"> and updated timeline for missing parts</w:t>
            </w:r>
          </w:p>
        </w:tc>
        <w:tc>
          <w:tcPr>
            <w:tcW w:w="1541" w:type="dxa"/>
          </w:tcPr>
          <w:p w:rsidR="003C082B" w:rsidRPr="0050132A" w:rsidRDefault="00C021EE" w:rsidP="00C021E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124 days</w:t>
            </w:r>
          </w:p>
        </w:tc>
        <w:tc>
          <w:tcPr>
            <w:tcW w:w="2283" w:type="dxa"/>
          </w:tcPr>
          <w:p w:rsidR="003C082B" w:rsidRPr="0050132A" w:rsidRDefault="009845E0" w:rsidP="000D264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December</w:t>
            </w:r>
            <w:r w:rsidR="000D2641">
              <w:rPr>
                <w:rFonts w:asciiTheme="minorHAnsi" w:hAnsiTheme="minorHAnsi" w:cstheme="minorHAnsi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41" w:type="dxa"/>
          </w:tcPr>
          <w:p w:rsidR="003C082B" w:rsidRPr="0050132A" w:rsidRDefault="000D2641" w:rsidP="008F2DF9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bidi="km-KH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bidi="km-KH"/>
              </w:rPr>
              <w:t>FCPF</w:t>
            </w:r>
            <w:r w:rsidR="003C082B" w:rsidRPr="0050132A"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bidi="km-KH"/>
              </w:rPr>
              <w:t xml:space="preserve"> NPD</w:t>
            </w:r>
          </w:p>
          <w:p w:rsidR="003C082B" w:rsidRPr="0050132A" w:rsidRDefault="003C082B" w:rsidP="008F2DF9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bidi="km-KH"/>
              </w:rPr>
            </w:pPr>
          </w:p>
        </w:tc>
      </w:tr>
      <w:tr w:rsidR="00023B00" w:rsidRPr="0050132A" w:rsidTr="00023B00">
        <w:tc>
          <w:tcPr>
            <w:tcW w:w="372" w:type="dxa"/>
          </w:tcPr>
          <w:p w:rsidR="00023B00" w:rsidRPr="0050132A" w:rsidRDefault="00023B00" w:rsidP="007C569D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786" w:type="dxa"/>
          </w:tcPr>
          <w:p w:rsidR="00023B00" w:rsidRDefault="00C021EE" w:rsidP="00C021EE">
            <w:pPr>
              <w:ind w:left="-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Report on c</w:t>
            </w:r>
            <w:r w:rsidR="009845E0">
              <w:rPr>
                <w:rFonts w:asciiTheme="minorHAnsi" w:hAnsiTheme="minorHAnsi" w:cstheme="minorHAnsi"/>
                <w:sz w:val="22"/>
                <w:szCs w:val="22"/>
              </w:rPr>
              <w:t>onsultation according to consultation plan</w:t>
            </w:r>
            <w:r w:rsidR="000D2641" w:rsidRPr="00736543">
              <w:rPr>
                <w:rFonts w:asciiTheme="minorHAnsi" w:hAnsiTheme="minorHAnsi" w:cstheme="minorHAnsi"/>
                <w:color w:val="000000"/>
                <w:sz w:val="22"/>
                <w:szCs w:val="22"/>
                <w:lang w:bidi="km-KH"/>
              </w:rPr>
              <w:t xml:space="preserve"> </w:t>
            </w:r>
          </w:p>
        </w:tc>
        <w:tc>
          <w:tcPr>
            <w:tcW w:w="1541" w:type="dxa"/>
          </w:tcPr>
          <w:p w:rsidR="00023B00" w:rsidRDefault="00C021EE" w:rsidP="00C021E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124</w:t>
            </w:r>
            <w:r w:rsidR="009845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days</w:t>
            </w:r>
          </w:p>
        </w:tc>
        <w:tc>
          <w:tcPr>
            <w:tcW w:w="2283" w:type="dxa"/>
          </w:tcPr>
          <w:p w:rsidR="00023B00" w:rsidRPr="00FB3138" w:rsidRDefault="009845E0" w:rsidP="00F127B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April</w:t>
            </w:r>
            <w:r w:rsidR="000D264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2015</w:t>
            </w:r>
          </w:p>
        </w:tc>
        <w:tc>
          <w:tcPr>
            <w:tcW w:w="1541" w:type="dxa"/>
          </w:tcPr>
          <w:p w:rsidR="00023B00" w:rsidRPr="00235E1A" w:rsidRDefault="000D2641" w:rsidP="00F127B3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bidi="km-KH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bidi="km-KH"/>
              </w:rPr>
              <w:t>FCPF</w:t>
            </w:r>
            <w:r w:rsidR="00023B00" w:rsidRPr="00235E1A"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bidi="km-KH"/>
              </w:rPr>
              <w:t xml:space="preserve"> NPD</w:t>
            </w:r>
          </w:p>
          <w:p w:rsidR="00023B00" w:rsidRPr="00235E1A" w:rsidRDefault="00023B00" w:rsidP="00F127B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3B00" w:rsidRPr="0050132A" w:rsidTr="00023B00">
        <w:tc>
          <w:tcPr>
            <w:tcW w:w="372" w:type="dxa"/>
          </w:tcPr>
          <w:p w:rsidR="00023B00" w:rsidRPr="0050132A" w:rsidRDefault="00023B00" w:rsidP="007C569D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786" w:type="dxa"/>
          </w:tcPr>
          <w:p w:rsidR="00023B00" w:rsidRPr="0050132A" w:rsidRDefault="009845E0" w:rsidP="009845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Final draft</w:t>
            </w:r>
            <w:r w:rsidR="000D2641">
              <w:rPr>
                <w:rFonts w:asciiTheme="minorHAnsi" w:hAnsiTheme="minorHAnsi" w:cstheme="minorHAnsi"/>
                <w:sz w:val="22"/>
                <w:szCs w:val="22"/>
              </w:rPr>
              <w:t xml:space="preserve"> national REDD+ strategy </w:t>
            </w:r>
          </w:p>
        </w:tc>
        <w:tc>
          <w:tcPr>
            <w:tcW w:w="1541" w:type="dxa"/>
          </w:tcPr>
          <w:p w:rsidR="00023B00" w:rsidRPr="0050132A" w:rsidRDefault="00C021EE" w:rsidP="00C021E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124</w:t>
            </w:r>
            <w:r w:rsidR="009845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days</w:t>
            </w:r>
          </w:p>
        </w:tc>
        <w:tc>
          <w:tcPr>
            <w:tcW w:w="2283" w:type="dxa"/>
          </w:tcPr>
          <w:p w:rsidR="00023B00" w:rsidRPr="000D2641" w:rsidRDefault="00A7172C" w:rsidP="000D2641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October</w:t>
            </w:r>
            <w:r w:rsidR="000D2641">
              <w:rPr>
                <w:rFonts w:asciiTheme="minorHAnsi" w:hAnsiTheme="minorHAnsi" w:cstheme="minorHAnsi"/>
                <w:sz w:val="22"/>
                <w:szCs w:val="22"/>
              </w:rPr>
              <w:t xml:space="preserve"> 2015</w:t>
            </w:r>
          </w:p>
        </w:tc>
        <w:tc>
          <w:tcPr>
            <w:tcW w:w="1541" w:type="dxa"/>
          </w:tcPr>
          <w:p w:rsidR="00023B00" w:rsidRPr="0050132A" w:rsidRDefault="000D2641" w:rsidP="003C082B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bidi="km-KH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bidi="km-KH"/>
              </w:rPr>
              <w:t>FCPF</w:t>
            </w:r>
            <w:r w:rsidR="00023B00" w:rsidRPr="0050132A">
              <w:rPr>
                <w:rFonts w:asciiTheme="minorHAnsi" w:hAnsiTheme="minorHAnsi" w:cstheme="minorHAnsi"/>
                <w:color w:val="000000"/>
                <w:sz w:val="22"/>
                <w:szCs w:val="22"/>
                <w:lang w:val="en-GB" w:bidi="km-KH"/>
              </w:rPr>
              <w:t xml:space="preserve"> NPD</w:t>
            </w:r>
          </w:p>
          <w:p w:rsidR="00023B00" w:rsidRPr="0050132A" w:rsidRDefault="00023B00" w:rsidP="007C569D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3FE7" w:rsidRPr="0050132A" w:rsidTr="00023B00">
        <w:tc>
          <w:tcPr>
            <w:tcW w:w="372" w:type="dxa"/>
          </w:tcPr>
          <w:p w:rsidR="00E93FE7" w:rsidRPr="0050132A" w:rsidRDefault="00E93FE7" w:rsidP="007C569D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6" w:type="dxa"/>
          </w:tcPr>
          <w:p w:rsidR="00E93FE7" w:rsidRPr="0050132A" w:rsidRDefault="00E93FE7" w:rsidP="007C569D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132A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541" w:type="dxa"/>
          </w:tcPr>
          <w:p w:rsidR="00E93FE7" w:rsidRPr="0050132A" w:rsidRDefault="00C021EE" w:rsidP="00C021E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315 days</w:t>
            </w:r>
          </w:p>
        </w:tc>
        <w:tc>
          <w:tcPr>
            <w:tcW w:w="2283" w:type="dxa"/>
          </w:tcPr>
          <w:p w:rsidR="00E93FE7" w:rsidRPr="0050132A" w:rsidRDefault="00E93FE7" w:rsidP="007C569D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1" w:type="dxa"/>
          </w:tcPr>
          <w:p w:rsidR="00E93FE7" w:rsidRPr="0050132A" w:rsidRDefault="00E93FE7" w:rsidP="007C569D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C569D" w:rsidRPr="0050132A" w:rsidRDefault="007C569D" w:rsidP="007C569D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:rsidR="00DC7292" w:rsidRPr="0050132A" w:rsidRDefault="00DC7292" w:rsidP="00DC7292">
      <w:pPr>
        <w:jc w:val="both"/>
        <w:rPr>
          <w:rFonts w:asciiTheme="minorHAnsi" w:hAnsiTheme="minorHAnsi" w:cstheme="minorHAnsi"/>
          <w:b/>
          <w:bCs/>
          <w:i/>
          <w:iCs/>
          <w:color w:val="000099"/>
          <w:sz w:val="22"/>
          <w:szCs w:val="22"/>
          <w:u w:val="single"/>
        </w:rPr>
      </w:pPr>
      <w:r w:rsidRPr="0050132A">
        <w:rPr>
          <w:rFonts w:asciiTheme="minorHAnsi" w:hAnsiTheme="minorHAnsi" w:cstheme="minorHAnsi"/>
          <w:b/>
          <w:bCs/>
          <w:i/>
          <w:iCs/>
          <w:color w:val="000099"/>
          <w:sz w:val="22"/>
          <w:szCs w:val="22"/>
          <w:u w:val="single"/>
        </w:rPr>
        <w:t>Application</w:t>
      </w:r>
    </w:p>
    <w:p w:rsidR="00DC7292" w:rsidRPr="0050132A" w:rsidRDefault="00DC7292" w:rsidP="00DC7292">
      <w:pPr>
        <w:pStyle w:val="text50"/>
        <w:spacing w:before="0" w:beforeAutospacing="0" w:after="0" w:afterAutospacing="0"/>
        <w:ind w:right="18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DC7292" w:rsidRPr="0050132A" w:rsidRDefault="00DC7292" w:rsidP="00DC7292">
      <w:pPr>
        <w:pStyle w:val="text50"/>
        <w:spacing w:before="0" w:beforeAutospacing="0" w:after="0" w:afterAutospacing="0"/>
        <w:ind w:right="1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0132A">
        <w:rPr>
          <w:rFonts w:asciiTheme="minorHAnsi" w:hAnsiTheme="minorHAnsi" w:cstheme="minorHAnsi"/>
          <w:color w:val="auto"/>
          <w:sz w:val="22"/>
          <w:szCs w:val="22"/>
        </w:rPr>
        <w:t xml:space="preserve">Applicants are requested to send CV, together with a letter of interest to REDD+ Taskforce Secretariat by either mail (N. 40, </w:t>
      </w:r>
      <w:proofErr w:type="spellStart"/>
      <w:r w:rsidRPr="0050132A">
        <w:rPr>
          <w:rFonts w:asciiTheme="minorHAnsi" w:hAnsiTheme="minorHAnsi" w:cstheme="minorHAnsi"/>
          <w:color w:val="auto"/>
          <w:sz w:val="22"/>
          <w:szCs w:val="22"/>
        </w:rPr>
        <w:t>PreahNorodom</w:t>
      </w:r>
      <w:proofErr w:type="spellEnd"/>
      <w:r w:rsidRPr="0050132A">
        <w:rPr>
          <w:rFonts w:asciiTheme="minorHAnsi" w:hAnsiTheme="minorHAnsi" w:cstheme="minorHAnsi"/>
          <w:color w:val="auto"/>
          <w:sz w:val="22"/>
          <w:szCs w:val="22"/>
        </w:rPr>
        <w:t xml:space="preserve"> Blvd. </w:t>
      </w:r>
      <w:proofErr w:type="spellStart"/>
      <w:r w:rsidRPr="0050132A">
        <w:rPr>
          <w:rFonts w:asciiTheme="minorHAnsi" w:hAnsiTheme="minorHAnsi" w:cstheme="minorHAnsi"/>
          <w:color w:val="auto"/>
          <w:sz w:val="22"/>
          <w:szCs w:val="22"/>
        </w:rPr>
        <w:t>SangkatPhsarKandal</w:t>
      </w:r>
      <w:proofErr w:type="spellEnd"/>
      <w:r w:rsidRPr="0050132A">
        <w:rPr>
          <w:rFonts w:asciiTheme="minorHAnsi" w:hAnsiTheme="minorHAnsi" w:cstheme="minorHAnsi"/>
          <w:color w:val="auto"/>
          <w:sz w:val="22"/>
          <w:szCs w:val="22"/>
        </w:rPr>
        <w:t xml:space="preserve"> 2, Khan </w:t>
      </w:r>
      <w:proofErr w:type="spellStart"/>
      <w:r w:rsidRPr="0050132A">
        <w:rPr>
          <w:rFonts w:asciiTheme="minorHAnsi" w:hAnsiTheme="minorHAnsi" w:cstheme="minorHAnsi"/>
          <w:color w:val="auto"/>
          <w:sz w:val="22"/>
          <w:szCs w:val="22"/>
        </w:rPr>
        <w:t>Daun</w:t>
      </w:r>
      <w:proofErr w:type="spellEnd"/>
      <w:r w:rsidRPr="0050132A">
        <w:rPr>
          <w:rFonts w:asciiTheme="minorHAnsi" w:hAnsiTheme="minorHAnsi" w:cstheme="minorHAnsi"/>
          <w:color w:val="auto"/>
          <w:sz w:val="22"/>
          <w:szCs w:val="22"/>
        </w:rPr>
        <w:t xml:space="preserve"> Penh, </w:t>
      </w:r>
      <w:proofErr w:type="gramStart"/>
      <w:r w:rsidRPr="0050132A">
        <w:rPr>
          <w:rFonts w:asciiTheme="minorHAnsi" w:hAnsiTheme="minorHAnsi" w:cstheme="minorHAnsi"/>
          <w:color w:val="auto"/>
          <w:sz w:val="22"/>
          <w:szCs w:val="22"/>
        </w:rPr>
        <w:t>Cambodia</w:t>
      </w:r>
      <w:proofErr w:type="gramEnd"/>
      <w:r w:rsidRPr="0050132A">
        <w:rPr>
          <w:rFonts w:asciiTheme="minorHAnsi" w:hAnsiTheme="minorHAnsi" w:cstheme="minorHAnsi"/>
          <w:color w:val="auto"/>
          <w:sz w:val="22"/>
          <w:szCs w:val="22"/>
        </w:rPr>
        <w:t>) or e-mail (redd.secretariat@cambodia-redd.org).</w:t>
      </w:r>
    </w:p>
    <w:p w:rsidR="00FD0E03" w:rsidRPr="0050132A" w:rsidRDefault="00FD0E03" w:rsidP="001F2DD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53D3F" w:rsidRPr="0050132A" w:rsidRDefault="00A53D3F" w:rsidP="00A53D3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0132A">
        <w:rPr>
          <w:rFonts w:asciiTheme="minorHAnsi" w:hAnsiTheme="minorHAnsi" w:cstheme="minorHAnsi"/>
          <w:b/>
          <w:bCs/>
          <w:sz w:val="22"/>
          <w:szCs w:val="22"/>
        </w:rPr>
        <w:t>Competence Requirements</w:t>
      </w:r>
    </w:p>
    <w:p w:rsidR="00A53D3F" w:rsidRPr="0050132A" w:rsidRDefault="00A53D3F" w:rsidP="00A53D3F">
      <w:pPr>
        <w:jc w:val="both"/>
        <w:rPr>
          <w:rFonts w:asciiTheme="minorHAnsi" w:hAnsiTheme="minorHAnsi" w:cstheme="minorHAnsi"/>
          <w:sz w:val="22"/>
          <w:szCs w:val="22"/>
        </w:rPr>
      </w:pPr>
      <w:r w:rsidRPr="0050132A">
        <w:rPr>
          <w:rFonts w:asciiTheme="minorHAnsi" w:hAnsiTheme="minorHAnsi" w:cstheme="minorHAnsi"/>
          <w:sz w:val="22"/>
          <w:szCs w:val="22"/>
        </w:rPr>
        <w:t>The National Consultant shall meet the following criteria:</w:t>
      </w:r>
    </w:p>
    <w:p w:rsidR="00A53D3F" w:rsidRPr="0050132A" w:rsidRDefault="00A53D3F" w:rsidP="00A53D3F">
      <w:pPr>
        <w:jc w:val="both"/>
        <w:rPr>
          <w:rFonts w:asciiTheme="minorHAnsi" w:eastAsia="Arial Unicode MS" w:hAnsiTheme="minorHAnsi" w:cstheme="minorHAnsi"/>
          <w:color w:val="000000"/>
          <w:sz w:val="22"/>
          <w:szCs w:val="22"/>
        </w:rPr>
      </w:pPr>
    </w:p>
    <w:p w:rsidR="00DD1723" w:rsidRPr="0050132A" w:rsidRDefault="00DD1723" w:rsidP="001F2DDC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132A">
        <w:rPr>
          <w:rFonts w:asciiTheme="minorHAnsi" w:hAnsiTheme="minorHAnsi" w:cstheme="minorHAnsi"/>
          <w:sz w:val="22"/>
          <w:szCs w:val="22"/>
        </w:rPr>
        <w:t>Advanced University degree in natural resource management or a related field;</w:t>
      </w:r>
    </w:p>
    <w:p w:rsidR="00DD1723" w:rsidRPr="0050132A" w:rsidRDefault="00DD1723" w:rsidP="001F2DDC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132A">
        <w:rPr>
          <w:rFonts w:asciiTheme="minorHAnsi" w:hAnsiTheme="minorHAnsi" w:cstheme="minorHAnsi"/>
          <w:sz w:val="22"/>
          <w:szCs w:val="22"/>
        </w:rPr>
        <w:t xml:space="preserve">A minimum of 5 years of relevant experience; </w:t>
      </w:r>
    </w:p>
    <w:p w:rsidR="00DD1723" w:rsidRPr="0050132A" w:rsidRDefault="00DD1723" w:rsidP="001F2DDC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132A">
        <w:rPr>
          <w:rFonts w:asciiTheme="minorHAnsi" w:hAnsiTheme="minorHAnsi" w:cstheme="minorHAnsi"/>
          <w:sz w:val="22"/>
          <w:szCs w:val="22"/>
        </w:rPr>
        <w:t xml:space="preserve">Substantial and diverse experience in </w:t>
      </w:r>
      <w:r w:rsidR="000D2641">
        <w:rPr>
          <w:rFonts w:asciiTheme="minorHAnsi" w:hAnsiTheme="minorHAnsi" w:cstheme="minorHAnsi"/>
          <w:sz w:val="22"/>
          <w:szCs w:val="22"/>
        </w:rPr>
        <w:t xml:space="preserve">working with </w:t>
      </w:r>
      <w:r w:rsidRPr="0050132A">
        <w:rPr>
          <w:rFonts w:asciiTheme="minorHAnsi" w:hAnsiTheme="minorHAnsi" w:cstheme="minorHAnsi"/>
          <w:sz w:val="22"/>
          <w:szCs w:val="22"/>
        </w:rPr>
        <w:t xml:space="preserve">management of natural resources, </w:t>
      </w:r>
      <w:r w:rsidR="000D2641">
        <w:rPr>
          <w:rFonts w:asciiTheme="minorHAnsi" w:hAnsiTheme="minorHAnsi" w:cstheme="minorHAnsi"/>
          <w:sz w:val="22"/>
          <w:szCs w:val="22"/>
        </w:rPr>
        <w:t>policy formulation and stakeholder engagement</w:t>
      </w:r>
      <w:r w:rsidR="001F2DDC" w:rsidRPr="0050132A">
        <w:rPr>
          <w:rFonts w:asciiTheme="minorHAnsi" w:hAnsiTheme="minorHAnsi" w:cstheme="minorHAnsi"/>
          <w:sz w:val="22"/>
          <w:szCs w:val="22"/>
        </w:rPr>
        <w:t>;</w:t>
      </w:r>
    </w:p>
    <w:p w:rsidR="00A53D3F" w:rsidRPr="0050132A" w:rsidRDefault="00A53D3F" w:rsidP="001F2DDC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132A">
        <w:rPr>
          <w:rFonts w:asciiTheme="minorHAnsi" w:hAnsiTheme="minorHAnsi" w:cstheme="minorHAnsi"/>
          <w:sz w:val="22"/>
          <w:szCs w:val="22"/>
        </w:rPr>
        <w:t xml:space="preserve">Good analytical and communication skills, including the ability to draft and to articulate ideas in a clear and concise manner; </w:t>
      </w:r>
    </w:p>
    <w:p w:rsidR="00A53D3F" w:rsidRPr="0050132A" w:rsidRDefault="006F3F8D" w:rsidP="001F2DDC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132A">
        <w:rPr>
          <w:rFonts w:asciiTheme="minorHAnsi" w:hAnsiTheme="minorHAnsi" w:cstheme="minorHAnsi"/>
          <w:sz w:val="22"/>
          <w:szCs w:val="22"/>
        </w:rPr>
        <w:t xml:space="preserve">Good interpersonal skills and </w:t>
      </w:r>
      <w:r w:rsidR="00A53D3F" w:rsidRPr="0050132A">
        <w:rPr>
          <w:rFonts w:asciiTheme="minorHAnsi" w:hAnsiTheme="minorHAnsi" w:cstheme="minorHAnsi"/>
          <w:sz w:val="22"/>
          <w:szCs w:val="22"/>
        </w:rPr>
        <w:t>ability to work well in a team whilst also having the capacity and initiative to work independently;</w:t>
      </w:r>
    </w:p>
    <w:p w:rsidR="00A53D3F" w:rsidRPr="0050132A" w:rsidRDefault="00A53D3F" w:rsidP="001F2DDC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132A">
        <w:rPr>
          <w:rFonts w:asciiTheme="minorHAnsi" w:hAnsiTheme="minorHAnsi" w:cstheme="minorHAnsi"/>
          <w:sz w:val="22"/>
          <w:szCs w:val="22"/>
        </w:rPr>
        <w:t xml:space="preserve">Sound knowledge of disciplines relevant to development work and climate change; </w:t>
      </w:r>
    </w:p>
    <w:p w:rsidR="006F3F8D" w:rsidRPr="0050132A" w:rsidRDefault="00A53D3F" w:rsidP="001F2DDC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132A">
        <w:rPr>
          <w:rFonts w:asciiTheme="minorHAnsi" w:hAnsiTheme="minorHAnsi" w:cstheme="minorHAnsi"/>
          <w:sz w:val="22"/>
          <w:szCs w:val="22"/>
        </w:rPr>
        <w:t>Highly developed oral and written</w:t>
      </w:r>
      <w:r w:rsidR="00DD1723" w:rsidRPr="0050132A">
        <w:rPr>
          <w:rFonts w:asciiTheme="minorHAnsi" w:hAnsiTheme="minorHAnsi" w:cstheme="minorHAnsi"/>
          <w:sz w:val="22"/>
          <w:szCs w:val="22"/>
        </w:rPr>
        <w:t xml:space="preserve"> communications skills with </w:t>
      </w:r>
      <w:r w:rsidR="001F2DDC" w:rsidRPr="0050132A">
        <w:rPr>
          <w:rFonts w:asciiTheme="minorHAnsi" w:hAnsiTheme="minorHAnsi" w:cstheme="minorHAnsi"/>
          <w:sz w:val="22"/>
          <w:szCs w:val="22"/>
        </w:rPr>
        <w:t>writing skills in English.</w:t>
      </w:r>
    </w:p>
    <w:p w:rsidR="00A53D3F" w:rsidRPr="0050132A" w:rsidRDefault="00A53D3F" w:rsidP="00A53D3F">
      <w:pPr>
        <w:jc w:val="both"/>
        <w:rPr>
          <w:rFonts w:asciiTheme="minorHAnsi" w:eastAsia="Arial Unicode MS" w:hAnsiTheme="minorHAnsi" w:cstheme="minorHAnsi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98"/>
        <w:gridCol w:w="2745"/>
      </w:tblGrid>
      <w:tr w:rsidR="00A168FC" w:rsidRPr="0050132A" w:rsidTr="00E2345B">
        <w:tc>
          <w:tcPr>
            <w:tcW w:w="6498" w:type="dxa"/>
          </w:tcPr>
          <w:p w:rsidR="00A168FC" w:rsidRPr="0050132A" w:rsidRDefault="00A168FC" w:rsidP="00E2345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13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Evaluation criteria</w:t>
            </w:r>
          </w:p>
        </w:tc>
        <w:tc>
          <w:tcPr>
            <w:tcW w:w="2745" w:type="dxa"/>
          </w:tcPr>
          <w:p w:rsidR="00A168FC" w:rsidRPr="0050132A" w:rsidRDefault="00A168FC" w:rsidP="00E2345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13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Obtainable score</w:t>
            </w:r>
          </w:p>
        </w:tc>
      </w:tr>
      <w:tr w:rsidR="00A168FC" w:rsidRPr="0050132A" w:rsidTr="00E2345B">
        <w:tc>
          <w:tcPr>
            <w:tcW w:w="6498" w:type="dxa"/>
          </w:tcPr>
          <w:p w:rsidR="00A168FC" w:rsidRPr="0050132A" w:rsidRDefault="00A168FC" w:rsidP="00E234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32A">
              <w:rPr>
                <w:rFonts w:asciiTheme="minorHAnsi" w:hAnsiTheme="minorHAnsi" w:cstheme="minorHAnsi"/>
                <w:sz w:val="22"/>
                <w:szCs w:val="22"/>
              </w:rPr>
              <w:t xml:space="preserve">Relevant education and number of years experiences as required by the </w:t>
            </w:r>
            <w:proofErr w:type="spellStart"/>
            <w:r w:rsidRPr="0050132A">
              <w:rPr>
                <w:rFonts w:asciiTheme="minorHAnsi" w:hAnsiTheme="minorHAnsi" w:cstheme="minorHAnsi"/>
                <w:sz w:val="22"/>
                <w:szCs w:val="22"/>
              </w:rPr>
              <w:t>ToR</w:t>
            </w:r>
            <w:proofErr w:type="spellEnd"/>
            <w:r w:rsidR="000D264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745" w:type="dxa"/>
          </w:tcPr>
          <w:p w:rsidR="00A168FC" w:rsidRPr="0050132A" w:rsidRDefault="00A168FC" w:rsidP="00E234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132A">
              <w:rPr>
                <w:rFonts w:asciiTheme="minorHAnsi" w:hAnsiTheme="minorHAnsi" w:cstheme="minorHAnsi"/>
                <w:sz w:val="22"/>
                <w:szCs w:val="22"/>
              </w:rPr>
              <w:t>20 points</w:t>
            </w:r>
          </w:p>
        </w:tc>
      </w:tr>
      <w:tr w:rsidR="00A168FC" w:rsidRPr="0050132A" w:rsidTr="00E2345B">
        <w:tc>
          <w:tcPr>
            <w:tcW w:w="6498" w:type="dxa"/>
          </w:tcPr>
          <w:p w:rsidR="00A168FC" w:rsidRPr="0050132A" w:rsidRDefault="00A168FC" w:rsidP="000D26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32A">
              <w:rPr>
                <w:rFonts w:asciiTheme="minorHAnsi" w:hAnsiTheme="minorHAnsi" w:cstheme="minorHAnsi"/>
                <w:sz w:val="22"/>
                <w:szCs w:val="22"/>
              </w:rPr>
              <w:t xml:space="preserve">Substantial and diverse experience in management of natural resources, </w:t>
            </w:r>
            <w:r w:rsidR="000D2641">
              <w:rPr>
                <w:rFonts w:asciiTheme="minorHAnsi" w:hAnsiTheme="minorHAnsi" w:cstheme="minorHAnsi"/>
                <w:sz w:val="22"/>
                <w:szCs w:val="22"/>
              </w:rPr>
              <w:t>policy formulation and stakeholder engagement.</w:t>
            </w:r>
          </w:p>
        </w:tc>
        <w:tc>
          <w:tcPr>
            <w:tcW w:w="2745" w:type="dxa"/>
          </w:tcPr>
          <w:p w:rsidR="00A168FC" w:rsidRPr="0050132A" w:rsidRDefault="00A168FC" w:rsidP="00E234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132A">
              <w:rPr>
                <w:rFonts w:asciiTheme="minorHAnsi" w:hAnsiTheme="minorHAnsi" w:cstheme="minorHAnsi"/>
                <w:sz w:val="22"/>
                <w:szCs w:val="22"/>
              </w:rPr>
              <w:t xml:space="preserve">30 points </w:t>
            </w:r>
          </w:p>
        </w:tc>
      </w:tr>
      <w:tr w:rsidR="00A168FC" w:rsidRPr="0050132A" w:rsidTr="00E2345B">
        <w:tc>
          <w:tcPr>
            <w:tcW w:w="6498" w:type="dxa"/>
          </w:tcPr>
          <w:p w:rsidR="00A168FC" w:rsidRPr="0050132A" w:rsidRDefault="004A4120" w:rsidP="004A41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Prior experience with government decision making processes.</w:t>
            </w:r>
          </w:p>
        </w:tc>
        <w:tc>
          <w:tcPr>
            <w:tcW w:w="2745" w:type="dxa"/>
          </w:tcPr>
          <w:p w:rsidR="00A168FC" w:rsidRPr="0050132A" w:rsidRDefault="00A168FC" w:rsidP="00E234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132A">
              <w:rPr>
                <w:rFonts w:asciiTheme="minorHAnsi" w:hAnsiTheme="minorHAnsi" w:cstheme="minorHAnsi"/>
                <w:sz w:val="22"/>
                <w:szCs w:val="22"/>
              </w:rPr>
              <w:t>30 points</w:t>
            </w:r>
          </w:p>
        </w:tc>
      </w:tr>
      <w:tr w:rsidR="00A168FC" w:rsidRPr="0050132A" w:rsidTr="00E2345B">
        <w:tc>
          <w:tcPr>
            <w:tcW w:w="6498" w:type="dxa"/>
          </w:tcPr>
          <w:p w:rsidR="00A168FC" w:rsidRPr="0050132A" w:rsidRDefault="00A168FC" w:rsidP="00E234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32A">
              <w:rPr>
                <w:rFonts w:asciiTheme="minorHAnsi" w:hAnsiTheme="minorHAnsi" w:cstheme="minorHAnsi"/>
                <w:sz w:val="22"/>
                <w:szCs w:val="22"/>
              </w:rPr>
              <w:t>Sound knowledge of disciplines relevant to international development work and climate change</w:t>
            </w:r>
          </w:p>
        </w:tc>
        <w:tc>
          <w:tcPr>
            <w:tcW w:w="2745" w:type="dxa"/>
          </w:tcPr>
          <w:p w:rsidR="00A168FC" w:rsidRPr="0050132A" w:rsidRDefault="00A168FC" w:rsidP="00E234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132A">
              <w:rPr>
                <w:rFonts w:asciiTheme="minorHAnsi" w:hAnsiTheme="minorHAnsi" w:cstheme="minorHAnsi"/>
                <w:sz w:val="22"/>
                <w:szCs w:val="22"/>
              </w:rPr>
              <w:t>20 points</w:t>
            </w:r>
          </w:p>
        </w:tc>
      </w:tr>
      <w:tr w:rsidR="00A168FC" w:rsidRPr="0050132A" w:rsidTr="00E2345B">
        <w:tc>
          <w:tcPr>
            <w:tcW w:w="6498" w:type="dxa"/>
          </w:tcPr>
          <w:p w:rsidR="00A168FC" w:rsidRPr="0050132A" w:rsidRDefault="00A168FC" w:rsidP="00E2345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13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745" w:type="dxa"/>
          </w:tcPr>
          <w:p w:rsidR="00A168FC" w:rsidRPr="0050132A" w:rsidRDefault="00A168FC" w:rsidP="00E2345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13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 points</w:t>
            </w:r>
          </w:p>
        </w:tc>
      </w:tr>
    </w:tbl>
    <w:p w:rsidR="0012794F" w:rsidRPr="0050132A" w:rsidRDefault="0012794F" w:rsidP="0012794F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12794F" w:rsidRPr="0050132A" w:rsidSect="000A5498">
      <w:footerReference w:type="even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2A6" w:rsidRDefault="00FF72A6">
      <w:r>
        <w:separator/>
      </w:r>
    </w:p>
  </w:endnote>
  <w:endnote w:type="continuationSeparator" w:id="0">
    <w:p w:rsidR="00FF72A6" w:rsidRDefault="00FF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029" w:rsidRDefault="00AE09A5" w:rsidP="00A743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7602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6029" w:rsidRDefault="00A76029" w:rsidP="00A7435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BE4" w:rsidRPr="00705BE4" w:rsidRDefault="00705BE4">
    <w:pPr>
      <w:pStyle w:val="Footer"/>
      <w:jc w:val="right"/>
    </w:pPr>
    <w:r w:rsidRPr="00705BE4">
      <w:t xml:space="preserve">Page </w:t>
    </w:r>
    <w:r w:rsidR="00BF50E6">
      <w:fldChar w:fldCharType="begin"/>
    </w:r>
    <w:r w:rsidR="00BF50E6">
      <w:instrText xml:space="preserve"> PAGE </w:instrText>
    </w:r>
    <w:r w:rsidR="00BF50E6">
      <w:fldChar w:fldCharType="separate"/>
    </w:r>
    <w:r w:rsidR="00011A35">
      <w:rPr>
        <w:noProof/>
      </w:rPr>
      <w:t>4</w:t>
    </w:r>
    <w:r w:rsidR="00BF50E6">
      <w:rPr>
        <w:noProof/>
      </w:rPr>
      <w:fldChar w:fldCharType="end"/>
    </w:r>
    <w:r w:rsidRPr="00705BE4">
      <w:t xml:space="preserve"> of </w:t>
    </w:r>
    <w:fldSimple w:instr=" NUMPAGES  ">
      <w:r w:rsidR="00011A35">
        <w:rPr>
          <w:noProof/>
        </w:rPr>
        <w:t>4</w:t>
      </w:r>
    </w:fldSimple>
  </w:p>
  <w:p w:rsidR="00A76029" w:rsidRPr="00705BE4" w:rsidRDefault="00A76029" w:rsidP="00A743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2A6" w:rsidRDefault="00FF72A6">
      <w:r>
        <w:separator/>
      </w:r>
    </w:p>
  </w:footnote>
  <w:footnote w:type="continuationSeparator" w:id="0">
    <w:p w:rsidR="00FF72A6" w:rsidRDefault="00FF7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numPicBullet w:numPicBulletId="2">
    <w:pict>
      <v:shape id="_x0000_i1036" type="#_x0000_t75" style="width:3in;height:3in" o:bullet="t"/>
    </w:pict>
  </w:numPicBullet>
  <w:numPicBullet w:numPicBulletId="3">
    <w:pict>
      <v:shape id="_x0000_i1037" type="#_x0000_t75" style="width:3in;height:3in" o:bullet="t"/>
    </w:pict>
  </w:numPicBullet>
  <w:abstractNum w:abstractNumId="0">
    <w:nsid w:val="035A3820"/>
    <w:multiLevelType w:val="multilevel"/>
    <w:tmpl w:val="B1F6DC94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>
    <w:nsid w:val="074506B4"/>
    <w:multiLevelType w:val="hybridMultilevel"/>
    <w:tmpl w:val="A2F4F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52DE7"/>
    <w:multiLevelType w:val="hybridMultilevel"/>
    <w:tmpl w:val="5F3605C4"/>
    <w:lvl w:ilvl="0" w:tplc="ADB0BA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0167E"/>
    <w:multiLevelType w:val="hybridMultilevel"/>
    <w:tmpl w:val="1D20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504DD"/>
    <w:multiLevelType w:val="hybridMultilevel"/>
    <w:tmpl w:val="B4E09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E6AE9"/>
    <w:multiLevelType w:val="hybridMultilevel"/>
    <w:tmpl w:val="65968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36651A"/>
    <w:multiLevelType w:val="hybridMultilevel"/>
    <w:tmpl w:val="DED062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C2705"/>
    <w:multiLevelType w:val="hybridMultilevel"/>
    <w:tmpl w:val="E44AA582"/>
    <w:lvl w:ilvl="0" w:tplc="E436797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CC68B2"/>
    <w:multiLevelType w:val="hybridMultilevel"/>
    <w:tmpl w:val="A9664C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682798"/>
    <w:multiLevelType w:val="hybridMultilevel"/>
    <w:tmpl w:val="A9664C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132935"/>
    <w:multiLevelType w:val="hybridMultilevel"/>
    <w:tmpl w:val="FF088F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8E3146B"/>
    <w:multiLevelType w:val="hybridMultilevel"/>
    <w:tmpl w:val="22B86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72734B"/>
    <w:multiLevelType w:val="hybridMultilevel"/>
    <w:tmpl w:val="C18A3C96"/>
    <w:lvl w:ilvl="0" w:tplc="D2AA6320">
      <w:start w:val="1"/>
      <w:numFmt w:val="bullet"/>
      <w:lvlText w:val=""/>
      <w:lvlJc w:val="left"/>
      <w:pPr>
        <w:tabs>
          <w:tab w:val="num" w:pos="216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3F384B"/>
    <w:multiLevelType w:val="multilevel"/>
    <w:tmpl w:val="FBDA7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8F20E5"/>
    <w:multiLevelType w:val="hybridMultilevel"/>
    <w:tmpl w:val="5C303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7C2A27"/>
    <w:multiLevelType w:val="multilevel"/>
    <w:tmpl w:val="65D8A85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52F120DD"/>
    <w:multiLevelType w:val="hybridMultilevel"/>
    <w:tmpl w:val="CF5C7A00"/>
    <w:lvl w:ilvl="0" w:tplc="3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45F7A5F"/>
    <w:multiLevelType w:val="hybridMultilevel"/>
    <w:tmpl w:val="F1C260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930257"/>
    <w:multiLevelType w:val="hybridMultilevel"/>
    <w:tmpl w:val="A9664C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8C4DEB"/>
    <w:multiLevelType w:val="hybridMultilevel"/>
    <w:tmpl w:val="07025756"/>
    <w:lvl w:ilvl="0" w:tplc="CA6E6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DE438A"/>
    <w:multiLevelType w:val="hybridMultilevel"/>
    <w:tmpl w:val="65968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AB413E"/>
    <w:multiLevelType w:val="hybridMultilevel"/>
    <w:tmpl w:val="3764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C16A44"/>
    <w:multiLevelType w:val="multilevel"/>
    <w:tmpl w:val="FBDA764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3">
    <w:nsid w:val="6979175F"/>
    <w:multiLevelType w:val="hybridMultilevel"/>
    <w:tmpl w:val="F2F8B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2A516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MS Mincho" w:hAnsi="Verdana" w:cs="Times New Roman" w:hint="default"/>
        <w:sz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527E03"/>
    <w:multiLevelType w:val="hybridMultilevel"/>
    <w:tmpl w:val="C242CFCC"/>
    <w:lvl w:ilvl="0" w:tplc="50FC2A4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595959" w:themeColor="text1" w:themeTint="A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A125BA0"/>
    <w:multiLevelType w:val="multilevel"/>
    <w:tmpl w:val="459254B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2E7AC7"/>
    <w:multiLevelType w:val="hybridMultilevel"/>
    <w:tmpl w:val="EFF2A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3"/>
  </w:num>
  <w:num w:numId="4">
    <w:abstractNumId w:val="5"/>
  </w:num>
  <w:num w:numId="5">
    <w:abstractNumId w:val="12"/>
  </w:num>
  <w:num w:numId="6">
    <w:abstractNumId w:val="0"/>
  </w:num>
  <w:num w:numId="7">
    <w:abstractNumId w:val="18"/>
  </w:num>
  <w:num w:numId="8">
    <w:abstractNumId w:val="25"/>
  </w:num>
  <w:num w:numId="9">
    <w:abstractNumId w:val="17"/>
  </w:num>
  <w:num w:numId="10">
    <w:abstractNumId w:val="14"/>
  </w:num>
  <w:num w:numId="11">
    <w:abstractNumId w:val="7"/>
  </w:num>
  <w:num w:numId="12">
    <w:abstractNumId w:val="6"/>
  </w:num>
  <w:num w:numId="13">
    <w:abstractNumId w:val="8"/>
  </w:num>
  <w:num w:numId="14">
    <w:abstractNumId w:val="20"/>
  </w:num>
  <w:num w:numId="15">
    <w:abstractNumId w:val="9"/>
  </w:num>
  <w:num w:numId="16">
    <w:abstractNumId w:val="15"/>
  </w:num>
  <w:num w:numId="17">
    <w:abstractNumId w:val="15"/>
  </w:num>
  <w:num w:numId="18">
    <w:abstractNumId w:val="26"/>
  </w:num>
  <w:num w:numId="19">
    <w:abstractNumId w:val="10"/>
  </w:num>
  <w:num w:numId="20">
    <w:abstractNumId w:val="1"/>
  </w:num>
  <w:num w:numId="21">
    <w:abstractNumId w:val="22"/>
  </w:num>
  <w:num w:numId="22">
    <w:abstractNumId w:val="21"/>
  </w:num>
  <w:num w:numId="23">
    <w:abstractNumId w:val="13"/>
  </w:num>
  <w:num w:numId="24">
    <w:abstractNumId w:val="24"/>
  </w:num>
  <w:num w:numId="25">
    <w:abstractNumId w:val="16"/>
  </w:num>
  <w:num w:numId="26">
    <w:abstractNumId w:val="15"/>
  </w:num>
  <w:num w:numId="27">
    <w:abstractNumId w:val="3"/>
  </w:num>
  <w:num w:numId="28">
    <w:abstractNumId w:val="4"/>
  </w:num>
  <w:num w:numId="29">
    <w:abstractNumId w:val="2"/>
  </w:num>
  <w:num w:numId="30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B82"/>
    <w:rsid w:val="000053F3"/>
    <w:rsid w:val="00005638"/>
    <w:rsid w:val="00011A35"/>
    <w:rsid w:val="00013761"/>
    <w:rsid w:val="00021F65"/>
    <w:rsid w:val="00023B00"/>
    <w:rsid w:val="00025CC6"/>
    <w:rsid w:val="00032C28"/>
    <w:rsid w:val="00034BDE"/>
    <w:rsid w:val="00036725"/>
    <w:rsid w:val="0003757A"/>
    <w:rsid w:val="00045B04"/>
    <w:rsid w:val="000640F9"/>
    <w:rsid w:val="000650D5"/>
    <w:rsid w:val="0006513D"/>
    <w:rsid w:val="000763B6"/>
    <w:rsid w:val="000863D5"/>
    <w:rsid w:val="000A137F"/>
    <w:rsid w:val="000A5498"/>
    <w:rsid w:val="000B3106"/>
    <w:rsid w:val="000B73A2"/>
    <w:rsid w:val="000C0BE7"/>
    <w:rsid w:val="000C3A9B"/>
    <w:rsid w:val="000D02ED"/>
    <w:rsid w:val="000D2641"/>
    <w:rsid w:val="000D28B3"/>
    <w:rsid w:val="000D293D"/>
    <w:rsid w:val="000D3AF1"/>
    <w:rsid w:val="000E6ECC"/>
    <w:rsid w:val="000F5343"/>
    <w:rsid w:val="00103727"/>
    <w:rsid w:val="0010406C"/>
    <w:rsid w:val="00107D05"/>
    <w:rsid w:val="0012625C"/>
    <w:rsid w:val="00126D7B"/>
    <w:rsid w:val="0012794F"/>
    <w:rsid w:val="0013023D"/>
    <w:rsid w:val="00134B46"/>
    <w:rsid w:val="001374E0"/>
    <w:rsid w:val="0014308C"/>
    <w:rsid w:val="00144907"/>
    <w:rsid w:val="00156CB4"/>
    <w:rsid w:val="0016110F"/>
    <w:rsid w:val="00167E01"/>
    <w:rsid w:val="00190C0F"/>
    <w:rsid w:val="00192E35"/>
    <w:rsid w:val="001A0D64"/>
    <w:rsid w:val="001C4453"/>
    <w:rsid w:val="001C476E"/>
    <w:rsid w:val="001C4B8A"/>
    <w:rsid w:val="001C5AEA"/>
    <w:rsid w:val="001D1D11"/>
    <w:rsid w:val="001D4C1D"/>
    <w:rsid w:val="001E20E6"/>
    <w:rsid w:val="001F1672"/>
    <w:rsid w:val="001F16C1"/>
    <w:rsid w:val="001F2DDC"/>
    <w:rsid w:val="001F688A"/>
    <w:rsid w:val="001F7796"/>
    <w:rsid w:val="00200A9F"/>
    <w:rsid w:val="00211B8E"/>
    <w:rsid w:val="00212138"/>
    <w:rsid w:val="00215196"/>
    <w:rsid w:val="00215576"/>
    <w:rsid w:val="00224C06"/>
    <w:rsid w:val="00224CDF"/>
    <w:rsid w:val="00234C4D"/>
    <w:rsid w:val="00235E1A"/>
    <w:rsid w:val="00247FCE"/>
    <w:rsid w:val="00252B78"/>
    <w:rsid w:val="002545DA"/>
    <w:rsid w:val="00261B32"/>
    <w:rsid w:val="002659E3"/>
    <w:rsid w:val="00273C05"/>
    <w:rsid w:val="002C70EC"/>
    <w:rsid w:val="002C7B57"/>
    <w:rsid w:val="002D0C82"/>
    <w:rsid w:val="002E3468"/>
    <w:rsid w:val="002E55E2"/>
    <w:rsid w:val="002F26F7"/>
    <w:rsid w:val="00306841"/>
    <w:rsid w:val="00316BF7"/>
    <w:rsid w:val="003234D0"/>
    <w:rsid w:val="00337F0C"/>
    <w:rsid w:val="003418F6"/>
    <w:rsid w:val="0034404D"/>
    <w:rsid w:val="00347C9C"/>
    <w:rsid w:val="003506B3"/>
    <w:rsid w:val="0035294C"/>
    <w:rsid w:val="00354C19"/>
    <w:rsid w:val="003715B4"/>
    <w:rsid w:val="00372B82"/>
    <w:rsid w:val="00374039"/>
    <w:rsid w:val="0037570C"/>
    <w:rsid w:val="00375847"/>
    <w:rsid w:val="003A0CCD"/>
    <w:rsid w:val="003A4567"/>
    <w:rsid w:val="003A683C"/>
    <w:rsid w:val="003B0FA0"/>
    <w:rsid w:val="003B2592"/>
    <w:rsid w:val="003B26DB"/>
    <w:rsid w:val="003B3027"/>
    <w:rsid w:val="003C082B"/>
    <w:rsid w:val="003C3E1A"/>
    <w:rsid w:val="003D335D"/>
    <w:rsid w:val="003E12AF"/>
    <w:rsid w:val="003F17B3"/>
    <w:rsid w:val="003F7611"/>
    <w:rsid w:val="0040689E"/>
    <w:rsid w:val="00407582"/>
    <w:rsid w:val="00407C53"/>
    <w:rsid w:val="004133AB"/>
    <w:rsid w:val="00414D23"/>
    <w:rsid w:val="004235E8"/>
    <w:rsid w:val="0042449B"/>
    <w:rsid w:val="00424645"/>
    <w:rsid w:val="00441903"/>
    <w:rsid w:val="004423A2"/>
    <w:rsid w:val="00453AF4"/>
    <w:rsid w:val="0045570E"/>
    <w:rsid w:val="00461262"/>
    <w:rsid w:val="00461CE7"/>
    <w:rsid w:val="00463FDA"/>
    <w:rsid w:val="00465D8B"/>
    <w:rsid w:val="0047279D"/>
    <w:rsid w:val="00473170"/>
    <w:rsid w:val="0048137A"/>
    <w:rsid w:val="00491CF7"/>
    <w:rsid w:val="0049310F"/>
    <w:rsid w:val="004A1B46"/>
    <w:rsid w:val="004A1F3D"/>
    <w:rsid w:val="004A23E7"/>
    <w:rsid w:val="004A4120"/>
    <w:rsid w:val="004A44AA"/>
    <w:rsid w:val="004B0E48"/>
    <w:rsid w:val="004B2948"/>
    <w:rsid w:val="004C2E18"/>
    <w:rsid w:val="004C54CE"/>
    <w:rsid w:val="004C63BB"/>
    <w:rsid w:val="004D437A"/>
    <w:rsid w:val="004D6FF3"/>
    <w:rsid w:val="004E39C1"/>
    <w:rsid w:val="004E5ADA"/>
    <w:rsid w:val="004E7AF9"/>
    <w:rsid w:val="004F1247"/>
    <w:rsid w:val="004F557D"/>
    <w:rsid w:val="0050132A"/>
    <w:rsid w:val="0050163D"/>
    <w:rsid w:val="00501EE7"/>
    <w:rsid w:val="00502E61"/>
    <w:rsid w:val="00510B0B"/>
    <w:rsid w:val="00515D9A"/>
    <w:rsid w:val="00523FF8"/>
    <w:rsid w:val="005304B2"/>
    <w:rsid w:val="005336A4"/>
    <w:rsid w:val="00535C14"/>
    <w:rsid w:val="00535E4A"/>
    <w:rsid w:val="0053715A"/>
    <w:rsid w:val="00541E4A"/>
    <w:rsid w:val="00542ED3"/>
    <w:rsid w:val="00563F36"/>
    <w:rsid w:val="005701C0"/>
    <w:rsid w:val="00573859"/>
    <w:rsid w:val="005809A4"/>
    <w:rsid w:val="0058522C"/>
    <w:rsid w:val="005860A8"/>
    <w:rsid w:val="0059431B"/>
    <w:rsid w:val="005A10B7"/>
    <w:rsid w:val="005B00A6"/>
    <w:rsid w:val="005B315B"/>
    <w:rsid w:val="005B66DA"/>
    <w:rsid w:val="005C2A5B"/>
    <w:rsid w:val="005C44C2"/>
    <w:rsid w:val="005D28D8"/>
    <w:rsid w:val="005F265F"/>
    <w:rsid w:val="005F53FB"/>
    <w:rsid w:val="00604DED"/>
    <w:rsid w:val="006054C4"/>
    <w:rsid w:val="006117E6"/>
    <w:rsid w:val="00613BEB"/>
    <w:rsid w:val="006160C3"/>
    <w:rsid w:val="00623B31"/>
    <w:rsid w:val="00625119"/>
    <w:rsid w:val="006518B1"/>
    <w:rsid w:val="00654E4B"/>
    <w:rsid w:val="00661279"/>
    <w:rsid w:val="006653A4"/>
    <w:rsid w:val="0067519D"/>
    <w:rsid w:val="00681D91"/>
    <w:rsid w:val="0068394D"/>
    <w:rsid w:val="006865E8"/>
    <w:rsid w:val="006933BC"/>
    <w:rsid w:val="00694122"/>
    <w:rsid w:val="006A00A5"/>
    <w:rsid w:val="006A0AF1"/>
    <w:rsid w:val="006A0B9C"/>
    <w:rsid w:val="006A6077"/>
    <w:rsid w:val="006A6395"/>
    <w:rsid w:val="006B34AA"/>
    <w:rsid w:val="006B5C44"/>
    <w:rsid w:val="006B72E8"/>
    <w:rsid w:val="006C2F48"/>
    <w:rsid w:val="006E2676"/>
    <w:rsid w:val="006E2DC2"/>
    <w:rsid w:val="006F18F9"/>
    <w:rsid w:val="006F3F8D"/>
    <w:rsid w:val="006F5D9D"/>
    <w:rsid w:val="006F6DE9"/>
    <w:rsid w:val="00705BE4"/>
    <w:rsid w:val="0070683F"/>
    <w:rsid w:val="007070FA"/>
    <w:rsid w:val="00712B78"/>
    <w:rsid w:val="00725B99"/>
    <w:rsid w:val="00725DE0"/>
    <w:rsid w:val="00732492"/>
    <w:rsid w:val="007328EA"/>
    <w:rsid w:val="00732C49"/>
    <w:rsid w:val="00735AD9"/>
    <w:rsid w:val="00736543"/>
    <w:rsid w:val="007366D3"/>
    <w:rsid w:val="00741151"/>
    <w:rsid w:val="00751489"/>
    <w:rsid w:val="00761C7E"/>
    <w:rsid w:val="0076465C"/>
    <w:rsid w:val="007673DA"/>
    <w:rsid w:val="007705D7"/>
    <w:rsid w:val="00786891"/>
    <w:rsid w:val="007909AB"/>
    <w:rsid w:val="0079379F"/>
    <w:rsid w:val="007B6DF0"/>
    <w:rsid w:val="007C1470"/>
    <w:rsid w:val="007C4EA0"/>
    <w:rsid w:val="007C569D"/>
    <w:rsid w:val="007D4D88"/>
    <w:rsid w:val="007D7B0E"/>
    <w:rsid w:val="007E6E1D"/>
    <w:rsid w:val="007F25FE"/>
    <w:rsid w:val="007F29CC"/>
    <w:rsid w:val="007F5FCE"/>
    <w:rsid w:val="007F63B5"/>
    <w:rsid w:val="008040C5"/>
    <w:rsid w:val="008065FA"/>
    <w:rsid w:val="008107B6"/>
    <w:rsid w:val="00816C3D"/>
    <w:rsid w:val="008236F6"/>
    <w:rsid w:val="00823BAA"/>
    <w:rsid w:val="00826A7B"/>
    <w:rsid w:val="008366EC"/>
    <w:rsid w:val="00840AA5"/>
    <w:rsid w:val="00843D6F"/>
    <w:rsid w:val="008513BD"/>
    <w:rsid w:val="00857F9A"/>
    <w:rsid w:val="008730CB"/>
    <w:rsid w:val="00891C9C"/>
    <w:rsid w:val="00892D7E"/>
    <w:rsid w:val="00893045"/>
    <w:rsid w:val="008A17FC"/>
    <w:rsid w:val="008A2A1D"/>
    <w:rsid w:val="008C12AE"/>
    <w:rsid w:val="008C607F"/>
    <w:rsid w:val="008C62DE"/>
    <w:rsid w:val="008D1CAC"/>
    <w:rsid w:val="008E2FE0"/>
    <w:rsid w:val="008E3793"/>
    <w:rsid w:val="008E4D35"/>
    <w:rsid w:val="00903B41"/>
    <w:rsid w:val="0090756E"/>
    <w:rsid w:val="00915361"/>
    <w:rsid w:val="009172C1"/>
    <w:rsid w:val="0092335F"/>
    <w:rsid w:val="00935CD9"/>
    <w:rsid w:val="00940CD0"/>
    <w:rsid w:val="00941C84"/>
    <w:rsid w:val="00944126"/>
    <w:rsid w:val="0095183E"/>
    <w:rsid w:val="00952C65"/>
    <w:rsid w:val="0095534F"/>
    <w:rsid w:val="009563F4"/>
    <w:rsid w:val="00964C56"/>
    <w:rsid w:val="009652B4"/>
    <w:rsid w:val="009721A4"/>
    <w:rsid w:val="00972ED6"/>
    <w:rsid w:val="00980FAE"/>
    <w:rsid w:val="00981720"/>
    <w:rsid w:val="009845E0"/>
    <w:rsid w:val="00995977"/>
    <w:rsid w:val="009C595C"/>
    <w:rsid w:val="009C736C"/>
    <w:rsid w:val="009D1AA5"/>
    <w:rsid w:val="009D3C4D"/>
    <w:rsid w:val="009E6C76"/>
    <w:rsid w:val="009F0BA4"/>
    <w:rsid w:val="009F6DA2"/>
    <w:rsid w:val="009F765A"/>
    <w:rsid w:val="00A001DB"/>
    <w:rsid w:val="00A03E77"/>
    <w:rsid w:val="00A13DBE"/>
    <w:rsid w:val="00A156D0"/>
    <w:rsid w:val="00A168FC"/>
    <w:rsid w:val="00A24FA7"/>
    <w:rsid w:val="00A26DE9"/>
    <w:rsid w:val="00A30651"/>
    <w:rsid w:val="00A339E4"/>
    <w:rsid w:val="00A4368D"/>
    <w:rsid w:val="00A53D3F"/>
    <w:rsid w:val="00A64F2E"/>
    <w:rsid w:val="00A6660D"/>
    <w:rsid w:val="00A71506"/>
    <w:rsid w:val="00A7172C"/>
    <w:rsid w:val="00A73AB3"/>
    <w:rsid w:val="00A7435D"/>
    <w:rsid w:val="00A76029"/>
    <w:rsid w:val="00A760D3"/>
    <w:rsid w:val="00A96341"/>
    <w:rsid w:val="00A96E24"/>
    <w:rsid w:val="00AB0A2F"/>
    <w:rsid w:val="00AB1DAB"/>
    <w:rsid w:val="00AC0691"/>
    <w:rsid w:val="00AC5200"/>
    <w:rsid w:val="00AD7EA4"/>
    <w:rsid w:val="00AE09A5"/>
    <w:rsid w:val="00AE55D4"/>
    <w:rsid w:val="00AF394F"/>
    <w:rsid w:val="00B0544A"/>
    <w:rsid w:val="00B1348B"/>
    <w:rsid w:val="00B171AF"/>
    <w:rsid w:val="00B24FB5"/>
    <w:rsid w:val="00B34E2A"/>
    <w:rsid w:val="00B37D7A"/>
    <w:rsid w:val="00B410C5"/>
    <w:rsid w:val="00B435BB"/>
    <w:rsid w:val="00B530AA"/>
    <w:rsid w:val="00B55A3F"/>
    <w:rsid w:val="00B5770C"/>
    <w:rsid w:val="00B61AAB"/>
    <w:rsid w:val="00B61CC5"/>
    <w:rsid w:val="00B76156"/>
    <w:rsid w:val="00B84A28"/>
    <w:rsid w:val="00B85501"/>
    <w:rsid w:val="00B96248"/>
    <w:rsid w:val="00BB2FBD"/>
    <w:rsid w:val="00BC0300"/>
    <w:rsid w:val="00BE1B89"/>
    <w:rsid w:val="00BE3A06"/>
    <w:rsid w:val="00BE740D"/>
    <w:rsid w:val="00BF50E6"/>
    <w:rsid w:val="00BF7205"/>
    <w:rsid w:val="00C021EE"/>
    <w:rsid w:val="00C022D6"/>
    <w:rsid w:val="00C1306C"/>
    <w:rsid w:val="00C2132D"/>
    <w:rsid w:val="00C24C6A"/>
    <w:rsid w:val="00C27E5E"/>
    <w:rsid w:val="00C436F1"/>
    <w:rsid w:val="00C4389A"/>
    <w:rsid w:val="00C616C8"/>
    <w:rsid w:val="00C6244E"/>
    <w:rsid w:val="00C660A1"/>
    <w:rsid w:val="00C8358F"/>
    <w:rsid w:val="00C8544E"/>
    <w:rsid w:val="00C918B7"/>
    <w:rsid w:val="00C94832"/>
    <w:rsid w:val="00C953F6"/>
    <w:rsid w:val="00CA2040"/>
    <w:rsid w:val="00CB19C6"/>
    <w:rsid w:val="00CB4FDC"/>
    <w:rsid w:val="00CC25C1"/>
    <w:rsid w:val="00CC2AD0"/>
    <w:rsid w:val="00CC311F"/>
    <w:rsid w:val="00CC38C9"/>
    <w:rsid w:val="00CC41B0"/>
    <w:rsid w:val="00CC5E31"/>
    <w:rsid w:val="00CD7741"/>
    <w:rsid w:val="00CD7F37"/>
    <w:rsid w:val="00CE5F2E"/>
    <w:rsid w:val="00D03362"/>
    <w:rsid w:val="00D077FC"/>
    <w:rsid w:val="00D11C0B"/>
    <w:rsid w:val="00D26DFF"/>
    <w:rsid w:val="00D33477"/>
    <w:rsid w:val="00D35B6E"/>
    <w:rsid w:val="00D36416"/>
    <w:rsid w:val="00D4050C"/>
    <w:rsid w:val="00D40B6D"/>
    <w:rsid w:val="00D41F99"/>
    <w:rsid w:val="00D43719"/>
    <w:rsid w:val="00D53D46"/>
    <w:rsid w:val="00D55269"/>
    <w:rsid w:val="00D57A70"/>
    <w:rsid w:val="00D63CAF"/>
    <w:rsid w:val="00D64C15"/>
    <w:rsid w:val="00D64C6D"/>
    <w:rsid w:val="00D94850"/>
    <w:rsid w:val="00D959BF"/>
    <w:rsid w:val="00D9637C"/>
    <w:rsid w:val="00DA2995"/>
    <w:rsid w:val="00DA4C98"/>
    <w:rsid w:val="00DB0352"/>
    <w:rsid w:val="00DB3105"/>
    <w:rsid w:val="00DB34B2"/>
    <w:rsid w:val="00DC7292"/>
    <w:rsid w:val="00DD0230"/>
    <w:rsid w:val="00DD1723"/>
    <w:rsid w:val="00DD1E2E"/>
    <w:rsid w:val="00DE7F7B"/>
    <w:rsid w:val="00DE7FA1"/>
    <w:rsid w:val="00DF3151"/>
    <w:rsid w:val="00DF3C33"/>
    <w:rsid w:val="00DF77E5"/>
    <w:rsid w:val="00E07039"/>
    <w:rsid w:val="00E11B0C"/>
    <w:rsid w:val="00E1229A"/>
    <w:rsid w:val="00E34FCA"/>
    <w:rsid w:val="00E43EF6"/>
    <w:rsid w:val="00E5038B"/>
    <w:rsid w:val="00E51FCB"/>
    <w:rsid w:val="00E533AA"/>
    <w:rsid w:val="00E540FB"/>
    <w:rsid w:val="00E55A99"/>
    <w:rsid w:val="00E55E22"/>
    <w:rsid w:val="00E65BFB"/>
    <w:rsid w:val="00E65F0B"/>
    <w:rsid w:val="00E81B83"/>
    <w:rsid w:val="00E8419E"/>
    <w:rsid w:val="00E927E6"/>
    <w:rsid w:val="00E93FE7"/>
    <w:rsid w:val="00EB0FA7"/>
    <w:rsid w:val="00EC5B79"/>
    <w:rsid w:val="00ED5757"/>
    <w:rsid w:val="00F00418"/>
    <w:rsid w:val="00F00508"/>
    <w:rsid w:val="00F00823"/>
    <w:rsid w:val="00F17EF6"/>
    <w:rsid w:val="00F25709"/>
    <w:rsid w:val="00F25E9B"/>
    <w:rsid w:val="00F26966"/>
    <w:rsid w:val="00F375F6"/>
    <w:rsid w:val="00F409C7"/>
    <w:rsid w:val="00F443C9"/>
    <w:rsid w:val="00F449D9"/>
    <w:rsid w:val="00F522B9"/>
    <w:rsid w:val="00F54642"/>
    <w:rsid w:val="00F55839"/>
    <w:rsid w:val="00F90FF5"/>
    <w:rsid w:val="00F9717C"/>
    <w:rsid w:val="00FA0CD9"/>
    <w:rsid w:val="00FB0D91"/>
    <w:rsid w:val="00FB7DFD"/>
    <w:rsid w:val="00FC7C14"/>
    <w:rsid w:val="00FD0E03"/>
    <w:rsid w:val="00FD6303"/>
    <w:rsid w:val="00FE4E61"/>
    <w:rsid w:val="00FF00DB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D1A01C-88E1-481C-99A0-CF4715C3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FC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6029"/>
    <w:pPr>
      <w:keepNext/>
      <w:numPr>
        <w:numId w:val="1"/>
      </w:numPr>
      <w:spacing w:before="240" w:after="60"/>
      <w:jc w:val="both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7602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602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A76029"/>
    <w:pPr>
      <w:keepNext/>
      <w:numPr>
        <w:ilvl w:val="3"/>
        <w:numId w:val="1"/>
      </w:numPr>
      <w:jc w:val="both"/>
      <w:outlineLvl w:val="3"/>
    </w:pPr>
    <w:rPr>
      <w:rFonts w:ascii="Arial" w:hAnsi="Arial"/>
      <w:b/>
      <w:sz w:val="22"/>
      <w:szCs w:val="20"/>
      <w:u w:val="single"/>
      <w:lang w:val="en-CA"/>
    </w:rPr>
  </w:style>
  <w:style w:type="paragraph" w:styleId="Heading5">
    <w:name w:val="heading 5"/>
    <w:basedOn w:val="Normal"/>
    <w:next w:val="Normal"/>
    <w:qFormat/>
    <w:rsid w:val="00A7602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GB" w:eastAsia="en-GB"/>
    </w:rPr>
  </w:style>
  <w:style w:type="paragraph" w:styleId="Heading6">
    <w:name w:val="heading 6"/>
    <w:basedOn w:val="Normal"/>
    <w:next w:val="Normal"/>
    <w:qFormat/>
    <w:rsid w:val="00A7602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GB" w:eastAsia="en-GB"/>
    </w:rPr>
  </w:style>
  <w:style w:type="paragraph" w:styleId="Heading7">
    <w:name w:val="heading 7"/>
    <w:basedOn w:val="Normal"/>
    <w:next w:val="Normal"/>
    <w:qFormat/>
    <w:rsid w:val="00A76029"/>
    <w:pPr>
      <w:numPr>
        <w:ilvl w:val="6"/>
        <w:numId w:val="1"/>
      </w:numPr>
      <w:spacing w:before="240" w:after="60"/>
      <w:outlineLvl w:val="6"/>
    </w:pPr>
    <w:rPr>
      <w:lang w:val="en-GB" w:eastAsia="en-GB"/>
    </w:rPr>
  </w:style>
  <w:style w:type="paragraph" w:styleId="Heading8">
    <w:name w:val="heading 8"/>
    <w:basedOn w:val="Normal"/>
    <w:next w:val="Normal"/>
    <w:qFormat/>
    <w:rsid w:val="00A76029"/>
    <w:pPr>
      <w:numPr>
        <w:ilvl w:val="7"/>
        <w:numId w:val="1"/>
      </w:numPr>
      <w:spacing w:before="240" w:after="60"/>
      <w:outlineLvl w:val="7"/>
    </w:pPr>
    <w:rPr>
      <w:i/>
      <w:iCs/>
      <w:lang w:val="en-GB" w:eastAsia="en-GB"/>
    </w:rPr>
  </w:style>
  <w:style w:type="paragraph" w:styleId="Heading9">
    <w:name w:val="heading 9"/>
    <w:basedOn w:val="Normal"/>
    <w:next w:val="Normal"/>
    <w:qFormat/>
    <w:rsid w:val="00A7602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A76029"/>
    <w:rPr>
      <w:rFonts w:ascii="Arial" w:hAnsi="Arial" w:cs="Arial"/>
      <w:b/>
      <w:bCs/>
      <w:kern w:val="32"/>
      <w:sz w:val="28"/>
      <w:szCs w:val="28"/>
    </w:rPr>
  </w:style>
  <w:style w:type="character" w:customStyle="1" w:styleId="Heading2Char">
    <w:name w:val="Heading 2 Char"/>
    <w:link w:val="Heading2"/>
    <w:rsid w:val="00A76029"/>
    <w:rPr>
      <w:rFonts w:ascii="Arial" w:hAnsi="Arial" w:cs="Arial"/>
      <w:b/>
      <w:bCs/>
      <w:i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uiPriority w:val="99"/>
    <w:rsid w:val="00A7602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Heading4Char">
    <w:name w:val="Heading 4 Char"/>
    <w:link w:val="Heading4"/>
    <w:rsid w:val="00A76029"/>
    <w:rPr>
      <w:rFonts w:ascii="Arial" w:hAnsi="Arial"/>
      <w:b/>
      <w:sz w:val="22"/>
      <w:u w:val="single"/>
      <w:lang w:val="en-CA" w:eastAsia="en-US" w:bidi="ar-SA"/>
    </w:rPr>
  </w:style>
  <w:style w:type="paragraph" w:styleId="FootnoteText">
    <w:name w:val="footnote text"/>
    <w:basedOn w:val="Normal"/>
    <w:link w:val="FootnoteTextChar"/>
    <w:semiHidden/>
    <w:rsid w:val="00694122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A76029"/>
    <w:rPr>
      <w:lang w:val="en-US" w:eastAsia="en-US" w:bidi="ar-SA"/>
    </w:rPr>
  </w:style>
  <w:style w:type="character" w:styleId="FootnoteReference">
    <w:name w:val="footnote reference"/>
    <w:semiHidden/>
    <w:rsid w:val="00694122"/>
    <w:rPr>
      <w:vertAlign w:val="superscript"/>
    </w:rPr>
  </w:style>
  <w:style w:type="table" w:styleId="TableGrid">
    <w:name w:val="Table Grid"/>
    <w:basedOn w:val="TableNormal"/>
    <w:rsid w:val="006117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743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435D"/>
  </w:style>
  <w:style w:type="paragraph" w:styleId="Header">
    <w:name w:val="header"/>
    <w:basedOn w:val="Normal"/>
    <w:link w:val="HeaderChar"/>
    <w:rsid w:val="00A7435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76029"/>
    <w:rPr>
      <w:sz w:val="24"/>
      <w:szCs w:val="24"/>
      <w:lang w:val="en-US" w:eastAsia="en-US" w:bidi="ar-SA"/>
    </w:rPr>
  </w:style>
  <w:style w:type="character" w:styleId="Hyperlink">
    <w:name w:val="Hyperlink"/>
    <w:unhideWhenUsed/>
    <w:rsid w:val="00A7602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A76029"/>
    <w:pPr>
      <w:ind w:left="360"/>
    </w:pPr>
    <w:rPr>
      <w:lang w:eastAsia="en-GB"/>
    </w:rPr>
  </w:style>
  <w:style w:type="character" w:customStyle="1" w:styleId="BodyTextIndentChar">
    <w:name w:val="Body Text Indent Char"/>
    <w:link w:val="BodyTextIndent"/>
    <w:semiHidden/>
    <w:rsid w:val="00A76029"/>
    <w:rPr>
      <w:sz w:val="24"/>
      <w:szCs w:val="24"/>
      <w:lang w:val="en-US" w:eastAsia="en-GB" w:bidi="ar-SA"/>
    </w:rPr>
  </w:style>
  <w:style w:type="paragraph" w:styleId="BodyText3">
    <w:name w:val="Body Text 3"/>
    <w:basedOn w:val="Normal"/>
    <w:link w:val="BodyText3Char"/>
    <w:semiHidden/>
    <w:rsid w:val="00A76029"/>
    <w:pPr>
      <w:jc w:val="both"/>
    </w:pPr>
    <w:rPr>
      <w:szCs w:val="12"/>
    </w:rPr>
  </w:style>
  <w:style w:type="character" w:customStyle="1" w:styleId="BodyText3Char">
    <w:name w:val="Body Text 3 Char"/>
    <w:link w:val="BodyText3"/>
    <w:semiHidden/>
    <w:rsid w:val="00A76029"/>
    <w:rPr>
      <w:sz w:val="24"/>
      <w:szCs w:val="12"/>
      <w:lang w:val="en-US" w:eastAsia="en-US" w:bidi="ar-SA"/>
    </w:rPr>
  </w:style>
  <w:style w:type="paragraph" w:customStyle="1" w:styleId="ChartSource">
    <w:name w:val="ChartSource"/>
    <w:basedOn w:val="Normal"/>
    <w:rsid w:val="00A76029"/>
    <w:pPr>
      <w:tabs>
        <w:tab w:val="left" w:pos="180"/>
      </w:tabs>
    </w:pPr>
    <w:rPr>
      <w:rFonts w:ascii="Arial Narrow" w:hAnsi="Arial Narrow"/>
      <w:noProof/>
      <w:sz w:val="18"/>
      <w:szCs w:val="20"/>
    </w:rPr>
  </w:style>
  <w:style w:type="paragraph" w:customStyle="1" w:styleId="Default">
    <w:name w:val="Default"/>
    <w:rsid w:val="00A7602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76029"/>
    <w:pPr>
      <w:ind w:left="720"/>
      <w:contextualSpacing/>
    </w:pPr>
    <w:rPr>
      <w:lang w:val="en-GB"/>
    </w:rPr>
  </w:style>
  <w:style w:type="paragraph" w:styleId="Subtitle">
    <w:name w:val="Subtitle"/>
    <w:basedOn w:val="Normal"/>
    <w:link w:val="SubtitleChar"/>
    <w:qFormat/>
    <w:rsid w:val="00A76029"/>
    <w:pPr>
      <w:jc w:val="center"/>
    </w:pPr>
    <w:rPr>
      <w:b/>
      <w:bCs/>
      <w:u w:val="single"/>
    </w:rPr>
  </w:style>
  <w:style w:type="character" w:customStyle="1" w:styleId="SubtitleChar">
    <w:name w:val="Subtitle Char"/>
    <w:link w:val="Subtitle"/>
    <w:rsid w:val="00A76029"/>
    <w:rPr>
      <w:b/>
      <w:bCs/>
      <w:sz w:val="24"/>
      <w:szCs w:val="24"/>
      <w:u w:val="single"/>
      <w:lang w:val="en-US" w:eastAsia="en-US" w:bidi="ar-SA"/>
    </w:rPr>
  </w:style>
  <w:style w:type="paragraph" w:styleId="Title">
    <w:name w:val="Title"/>
    <w:basedOn w:val="Normal"/>
    <w:link w:val="TitleChar"/>
    <w:qFormat/>
    <w:rsid w:val="00A76029"/>
    <w:pPr>
      <w:jc w:val="center"/>
    </w:pPr>
    <w:rPr>
      <w:b/>
      <w:szCs w:val="20"/>
      <w:u w:val="single"/>
    </w:rPr>
  </w:style>
  <w:style w:type="character" w:customStyle="1" w:styleId="TitleChar">
    <w:name w:val="Title Char"/>
    <w:link w:val="Title"/>
    <w:rsid w:val="00A76029"/>
    <w:rPr>
      <w:b/>
      <w:sz w:val="24"/>
      <w:u w:val="single"/>
      <w:lang w:val="en-US" w:eastAsia="en-US" w:bidi="ar-SA"/>
    </w:rPr>
  </w:style>
  <w:style w:type="paragraph" w:styleId="NormalWeb">
    <w:name w:val="Normal (Web)"/>
    <w:basedOn w:val="Normal"/>
    <w:rsid w:val="00A76029"/>
    <w:pPr>
      <w:spacing w:before="100" w:beforeAutospacing="1" w:after="100" w:afterAutospacing="1"/>
    </w:pPr>
    <w:rPr>
      <w:rFonts w:ascii="Book Antiqua" w:hAnsi="Book Antiqua"/>
      <w:lang w:val="en-CA"/>
    </w:rPr>
  </w:style>
  <w:style w:type="paragraph" w:customStyle="1" w:styleId="Char">
    <w:name w:val="Char"/>
    <w:basedOn w:val="Normal"/>
    <w:rsid w:val="00A76029"/>
    <w:pPr>
      <w:spacing w:after="160" w:line="240" w:lineRule="exact"/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link w:val="BodyText2Char"/>
    <w:rsid w:val="00A76029"/>
    <w:pPr>
      <w:jc w:val="both"/>
    </w:pPr>
    <w:rPr>
      <w:rFonts w:ascii="Verdana" w:hAnsi="Verdana"/>
      <w:b/>
    </w:rPr>
  </w:style>
  <w:style w:type="character" w:customStyle="1" w:styleId="BodyText2Char">
    <w:name w:val="Body Text 2 Char"/>
    <w:link w:val="BodyText2"/>
    <w:rsid w:val="00A76029"/>
    <w:rPr>
      <w:rFonts w:ascii="Verdana" w:hAnsi="Verdana"/>
      <w:b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A760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76029"/>
    <w:rPr>
      <w:rFonts w:ascii="Tahoma" w:hAnsi="Tahoma" w:cs="Tahoma"/>
      <w:sz w:val="16"/>
      <w:szCs w:val="16"/>
      <w:lang w:val="en-US" w:eastAsia="en-US" w:bidi="ar-SA"/>
    </w:rPr>
  </w:style>
  <w:style w:type="paragraph" w:styleId="BodyText">
    <w:name w:val="Body Text"/>
    <w:aliases w:val="Body Text Char"/>
    <w:basedOn w:val="Normal"/>
    <w:link w:val="BodyTextChar1"/>
    <w:rsid w:val="00A76029"/>
    <w:pPr>
      <w:tabs>
        <w:tab w:val="left" w:pos="360"/>
      </w:tabs>
      <w:jc w:val="both"/>
    </w:pPr>
    <w:rPr>
      <w:rFonts w:ascii="Arial" w:hAnsi="Arial"/>
      <w:sz w:val="22"/>
      <w:szCs w:val="22"/>
      <w:lang w:val="en-GB" w:eastAsia="en-GB"/>
    </w:rPr>
  </w:style>
  <w:style w:type="character" w:customStyle="1" w:styleId="BodyTextChar1">
    <w:name w:val="Body Text Char1"/>
    <w:aliases w:val="Body Text Char Char"/>
    <w:link w:val="BodyText"/>
    <w:rsid w:val="00A76029"/>
    <w:rPr>
      <w:rFonts w:ascii="Arial" w:hAnsi="Arial"/>
      <w:sz w:val="22"/>
      <w:szCs w:val="22"/>
      <w:lang w:val="en-GB" w:eastAsia="en-GB" w:bidi="ar-SA"/>
    </w:rPr>
  </w:style>
  <w:style w:type="paragraph" w:styleId="CommentText">
    <w:name w:val="annotation text"/>
    <w:basedOn w:val="Normal"/>
    <w:link w:val="CommentTextChar"/>
    <w:semiHidden/>
    <w:rsid w:val="00A76029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A76029"/>
    <w:rPr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76029"/>
    <w:rPr>
      <w:b/>
      <w:bCs/>
    </w:rPr>
  </w:style>
  <w:style w:type="character" w:customStyle="1" w:styleId="CommentSubjectChar">
    <w:name w:val="Comment Subject Char"/>
    <w:link w:val="CommentSubject"/>
    <w:semiHidden/>
    <w:rsid w:val="00A76029"/>
    <w:rPr>
      <w:b/>
      <w:bCs/>
      <w:lang w:val="en-US" w:eastAsia="en-US" w:bidi="ar-SA"/>
    </w:rPr>
  </w:style>
  <w:style w:type="paragraph" w:styleId="PlainText">
    <w:name w:val="Plain Text"/>
    <w:basedOn w:val="Normal"/>
    <w:link w:val="PlainTextChar"/>
    <w:rsid w:val="00A76029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link w:val="PlainText"/>
    <w:rsid w:val="00A76029"/>
    <w:rPr>
      <w:rFonts w:ascii="Courier New" w:eastAsia="MS Mincho" w:hAnsi="Courier New" w:cs="Courier New"/>
      <w:lang w:val="en-US" w:eastAsia="ja-JP" w:bidi="ar-SA"/>
    </w:rPr>
  </w:style>
  <w:style w:type="paragraph" w:styleId="EndnoteText">
    <w:name w:val="endnote text"/>
    <w:basedOn w:val="Normal"/>
    <w:rsid w:val="00A76029"/>
    <w:rPr>
      <w:sz w:val="20"/>
      <w:szCs w:val="20"/>
    </w:rPr>
  </w:style>
  <w:style w:type="paragraph" w:customStyle="1" w:styleId="Char0">
    <w:name w:val="Char"/>
    <w:basedOn w:val="Normal"/>
    <w:rsid w:val="00A76029"/>
    <w:pPr>
      <w:spacing w:after="160" w:line="240" w:lineRule="exact"/>
    </w:pPr>
    <w:rPr>
      <w:rFonts w:ascii="Arial" w:hAnsi="Arial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A760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Emphasis">
    <w:name w:val="Emphasis"/>
    <w:qFormat/>
    <w:rsid w:val="00A76029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rsid w:val="00A76029"/>
  </w:style>
  <w:style w:type="paragraph" w:styleId="TOC2">
    <w:name w:val="toc 2"/>
    <w:basedOn w:val="Normal"/>
    <w:next w:val="Normal"/>
    <w:autoRedefine/>
    <w:rsid w:val="00A76029"/>
    <w:pPr>
      <w:ind w:left="240"/>
    </w:pPr>
  </w:style>
  <w:style w:type="paragraph" w:styleId="TOC3">
    <w:name w:val="toc 3"/>
    <w:basedOn w:val="Normal"/>
    <w:next w:val="Normal"/>
    <w:autoRedefine/>
    <w:rsid w:val="00A76029"/>
    <w:pPr>
      <w:ind w:left="480"/>
    </w:pPr>
  </w:style>
  <w:style w:type="paragraph" w:styleId="Caption">
    <w:name w:val="caption"/>
    <w:basedOn w:val="Normal"/>
    <w:next w:val="Normal"/>
    <w:qFormat/>
    <w:rsid w:val="00A76029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Bullets">
    <w:name w:val="Bullets"/>
    <w:basedOn w:val="Normal"/>
    <w:qFormat/>
    <w:rsid w:val="00A76029"/>
    <w:pPr>
      <w:spacing w:before="120"/>
      <w:ind w:left="720" w:hanging="360"/>
      <w:jc w:val="both"/>
    </w:pPr>
    <w:rPr>
      <w:rFonts w:ascii="Verdana" w:hAnsi="Verdana"/>
      <w:sz w:val="20"/>
      <w:szCs w:val="23"/>
    </w:rPr>
  </w:style>
  <w:style w:type="paragraph" w:customStyle="1" w:styleId="TableText">
    <w:name w:val="TableText"/>
    <w:autoRedefine/>
    <w:rsid w:val="00A76029"/>
    <w:pPr>
      <w:tabs>
        <w:tab w:val="left" w:pos="-720"/>
        <w:tab w:val="left" w:pos="360"/>
      </w:tabs>
      <w:suppressAutoHyphens/>
      <w:jc w:val="both"/>
    </w:pPr>
    <w:rPr>
      <w:rFonts w:ascii="Verdana" w:hAnsi="Verdana" w:cs="Times"/>
      <w:lang w:val="en-GB" w:eastAsia="en-GB"/>
    </w:rPr>
  </w:style>
  <w:style w:type="character" w:customStyle="1" w:styleId="texto11">
    <w:name w:val="texto11"/>
    <w:rsid w:val="00A76029"/>
    <w:rPr>
      <w:rFonts w:ascii="Arial" w:hAnsi="Arial" w:cs="Arial" w:hint="default"/>
      <w:b w:val="0"/>
      <w:bCs w:val="0"/>
      <w:i w:val="0"/>
      <w:iCs w:val="0"/>
      <w:caps w:val="0"/>
      <w:color w:val="000000"/>
      <w:sz w:val="20"/>
      <w:szCs w:val="20"/>
    </w:rPr>
  </w:style>
  <w:style w:type="paragraph" w:styleId="TOCHeading">
    <w:name w:val="TOC Heading"/>
    <w:basedOn w:val="Heading1"/>
    <w:next w:val="Normal"/>
    <w:qFormat/>
    <w:rsid w:val="00A7602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</w:rPr>
  </w:style>
  <w:style w:type="character" w:styleId="Strong">
    <w:name w:val="Strong"/>
    <w:qFormat/>
    <w:rsid w:val="00A76029"/>
    <w:rPr>
      <w:b/>
      <w:bCs/>
    </w:rPr>
  </w:style>
  <w:style w:type="character" w:styleId="HTMLCite">
    <w:name w:val="HTML Cite"/>
    <w:unhideWhenUsed/>
    <w:rsid w:val="00A76029"/>
    <w:rPr>
      <w:i/>
      <w:iCs/>
    </w:rPr>
  </w:style>
  <w:style w:type="paragraph" w:customStyle="1" w:styleId="Nex1">
    <w:name w:val="Nex1"/>
    <w:basedOn w:val="Default"/>
    <w:next w:val="Default"/>
    <w:rsid w:val="00A76029"/>
    <w:rPr>
      <w:rFonts w:ascii="Myriad Pro" w:eastAsia="Calibri" w:hAnsi="Myriad Pro" w:cs="Times New Roman"/>
      <w:color w:val="auto"/>
    </w:rPr>
  </w:style>
  <w:style w:type="paragraph" w:customStyle="1" w:styleId="Nex2">
    <w:name w:val="Nex2"/>
    <w:basedOn w:val="Default"/>
    <w:next w:val="Default"/>
    <w:rsid w:val="00A76029"/>
    <w:rPr>
      <w:rFonts w:ascii="Myriad Pro" w:eastAsia="Calibri" w:hAnsi="Myriad Pro" w:cs="Times New Roman"/>
      <w:color w:val="auto"/>
    </w:rPr>
  </w:style>
  <w:style w:type="character" w:styleId="CommentReference">
    <w:name w:val="annotation reference"/>
    <w:semiHidden/>
    <w:rsid w:val="00473170"/>
    <w:rPr>
      <w:sz w:val="16"/>
      <w:szCs w:val="16"/>
    </w:rPr>
  </w:style>
  <w:style w:type="paragraph" w:customStyle="1" w:styleId="text50">
    <w:name w:val="text50"/>
    <w:basedOn w:val="Normal"/>
    <w:uiPriority w:val="99"/>
    <w:rsid w:val="00AB0A2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title53">
    <w:name w:val="title53"/>
    <w:basedOn w:val="Normal"/>
    <w:rsid w:val="004C2E18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3300"/>
      <w:sz w:val="21"/>
      <w:szCs w:val="21"/>
    </w:rPr>
  </w:style>
  <w:style w:type="character" w:styleId="FollowedHyperlink">
    <w:name w:val="FollowedHyperlink"/>
    <w:rsid w:val="009C736C"/>
    <w:rPr>
      <w:color w:val="954F72"/>
      <w:u w:val="single"/>
    </w:rPr>
  </w:style>
  <w:style w:type="character" w:customStyle="1" w:styleId="gbps2">
    <w:name w:val="gbps2"/>
    <w:basedOn w:val="DefaultParagraphFont"/>
    <w:rsid w:val="0012794F"/>
  </w:style>
  <w:style w:type="character" w:customStyle="1" w:styleId="FooterChar">
    <w:name w:val="Footer Char"/>
    <w:basedOn w:val="DefaultParagraphFont"/>
    <w:link w:val="Footer"/>
    <w:uiPriority w:val="99"/>
    <w:rsid w:val="00705BE4"/>
    <w:rPr>
      <w:sz w:val="24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B435BB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Assistance on IEC Development for MDGF</vt:lpstr>
    </vt:vector>
  </TitlesOfParts>
  <Company/>
  <LinksUpToDate>false</LinksUpToDate>
  <CharactersWithSpaces>9424</CharactersWithSpaces>
  <SharedDoc>false</SharedDoc>
  <HLinks>
    <vt:vector size="6" baseType="variant">
      <vt:variant>
        <vt:i4>7864348</vt:i4>
      </vt:variant>
      <vt:variant>
        <vt:i4>0</vt:i4>
      </vt:variant>
      <vt:variant>
        <vt:i4>0</vt:i4>
      </vt:variant>
      <vt:variant>
        <vt:i4>5</vt:i4>
      </vt:variant>
      <vt:variant>
        <vt:lpwstr>mailto:secretariat.redd@gmail.com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Assistance on IEC Development for MDGF</dc:title>
  <dc:creator>User</dc:creator>
  <cp:lastModifiedBy>Timothy Boyle</cp:lastModifiedBy>
  <cp:revision>2</cp:revision>
  <cp:lastPrinted>2014-04-23T09:15:00Z</cp:lastPrinted>
  <dcterms:created xsi:type="dcterms:W3CDTF">2014-05-13T03:40:00Z</dcterms:created>
  <dcterms:modified xsi:type="dcterms:W3CDTF">2014-05-13T03:40:00Z</dcterms:modified>
</cp:coreProperties>
</file>