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DF" w:rsidRDefault="000E0BE2" w:rsidP="00521BDF">
      <w:pPr>
        <w:rPr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-408940</wp:posOffset>
                </wp:positionV>
                <wp:extent cx="2531110" cy="1219200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11D" w:rsidRPr="008843D5" w:rsidRDefault="00D5511D" w:rsidP="00D5511D">
                            <w:pPr>
                              <w:pStyle w:val="FootnoteTex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8843D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Background note on top</w:t>
                            </w:r>
                            <w:r w:rsidR="001359A4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-</w:t>
                            </w:r>
                            <w:r w:rsidRPr="008843D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up funding requirements under the </w:t>
                            </w:r>
                            <w:r w:rsidRPr="008843D5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Support to National REDD+ Action: </w:t>
                            </w:r>
                            <w:r w:rsidRPr="008843D5"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Global Programme Framework 2011-2015 (SNA).</w:t>
                            </w:r>
                          </w:p>
                          <w:p w:rsidR="00073435" w:rsidRDefault="00073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25pt;margin-top:-32.2pt;width:199.3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VjHwIAABwEAAAOAAAAZHJzL2Uyb0RvYy54bWysU9uO0zAQfUfiHyy/0zShhW3UdLV0KUJa&#10;LtIuHzBxnMbC9gTbbbJ8PWOn2y3whvCD5fHMHJ85M15fj0azo3Reoa14PptzJq3ARtl9xb897F5d&#10;ceYD2AY0WlnxR+n59ebli/XQl7LADnUjHSMQ68uhr3gXQl9mmRedNOBn2EtLzhadgUCm22eNg4HQ&#10;jc6K+fxNNqBreodCek+3t5OTbxJ+20oRvrStl4HpihO3kHaX9jru2WYN5d5B3ylxogH/wMKAsvTo&#10;GeoWArCDU39BGSUcemzDTKDJsG2VkKkGqiaf/1HNfQe9TLWQOL4/y+T/H6z4fPzqmGoqXnBmwVCL&#10;HuQY2DscWRHVGXpfUtB9T2FhpGvqcqrU93covntmcduB3csb53DoJDTELo+Z2UXqhOMjSD18woae&#10;gUPABDS2zkTpSAxG6NSlx3NnIhVBl8XydZ7n5BLky4t8Rb1Pb0D5lN47Hz5INCweKu6o9Qkejnc+&#10;RDpQPoXE1zxq1eyU1slw+3qrHTsCjckurRP6b2HasqHiq2WxTMgWY36aIKMCjbFWpuJX87hiOpRR&#10;jve2SecASk9nYqLtSZ8oySROGOuRAqNoNTaPpJTDaVzpe9GhQ/eTs4FGteL+xwGc5Ex/tKT2Kl8s&#10;4mwnY7F8W5DhLj31pQesIKiKB86m4zak/xD5WryhrrQq6fXM5MSVRjDJePouccYv7RT1/Kk3vwAA&#10;AP//AwBQSwMEFAAGAAgAAAAhAOQzpIXfAAAACwEAAA8AAABkcnMvZG93bnJldi54bWxMj8tugzAQ&#10;RfeV+g/WROqmSgwIQ0MxUVupVbd5fIDBE0DBNsJOIH/f6apdju7RvWfK3WIGdsPJ985KiDcRMLSN&#10;071tJZyOn+sXYD4oq9XgLEq4o4dd9fhQqkK72e7xdggtoxLrCyWhC2EsOPdNh0b5jRvRUnZ2k1GB&#10;zqnlelIzlZuBJ1GUcaN6SwudGvGjw+ZyuBoJ5+/5WWzn+iuc8n2avas+r91dyqfV8vYKLOAS/mD4&#10;1Sd1qMipdlerPRskCJEIQiWsszQFRsRWxDGwmtAkz4BXJf//Q/UDAAD//wMAUEsBAi0AFAAGAAgA&#10;AAAhALaDOJL+AAAA4QEAABMAAAAAAAAAAAAAAAAAAAAAAFtDb250ZW50X1R5cGVzXS54bWxQSwEC&#10;LQAUAAYACAAAACEAOP0h/9YAAACUAQAACwAAAAAAAAAAAAAAAAAvAQAAX3JlbHMvLnJlbHNQSwEC&#10;LQAUAAYACAAAACEA8jcVYx8CAAAcBAAADgAAAAAAAAAAAAAAAAAuAgAAZHJzL2Uyb0RvYy54bWxQ&#10;SwECLQAUAAYACAAAACEA5DOkhd8AAAALAQAADwAAAAAAAAAAAAAAAAB5BAAAZHJzL2Rvd25yZXYu&#10;eG1sUEsFBgAAAAAEAAQA8wAAAIUFAAAAAA==&#10;" stroked="f">
                <v:textbox>
                  <w:txbxContent>
                    <w:p w:rsidR="00D5511D" w:rsidRPr="008843D5" w:rsidRDefault="00D5511D" w:rsidP="00D5511D">
                      <w:pPr>
                        <w:pStyle w:val="FootnoteText"/>
                        <w:rPr>
                          <w:i/>
                          <w:sz w:val="22"/>
                          <w:szCs w:val="22"/>
                        </w:rPr>
                      </w:pPr>
                      <w:r w:rsidRPr="008843D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>Background note on top</w:t>
                      </w:r>
                      <w:r w:rsidR="001359A4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>-</w:t>
                      </w:r>
                      <w:r w:rsidRPr="008843D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up funding requirements under the </w:t>
                      </w:r>
                      <w:r w:rsidRPr="008843D5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Support to National REDD+ Action: </w:t>
                      </w:r>
                      <w:r w:rsidRPr="008843D5">
                        <w:rPr>
                          <w:rFonts w:cstheme="minorHAnsi"/>
                          <w:bCs/>
                          <w:i/>
                          <w:color w:val="000000"/>
                          <w:sz w:val="22"/>
                          <w:szCs w:val="22"/>
                        </w:rPr>
                        <w:t>Global Programme Framework 2011-2015 (SNA).</w:t>
                      </w:r>
                    </w:p>
                    <w:p w:rsidR="00073435" w:rsidRDefault="00073435"/>
                  </w:txbxContent>
                </v:textbox>
              </v:shape>
            </w:pict>
          </mc:Fallback>
        </mc:AlternateContent>
      </w:r>
      <w:r w:rsidR="002C4C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142875</wp:posOffset>
            </wp:positionV>
            <wp:extent cx="1771650" cy="1333500"/>
            <wp:effectExtent l="19050" t="0" r="0" b="0"/>
            <wp:wrapNone/>
            <wp:docPr id="1" name="Picture 1" descr="UN-REDD_full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-REDD_full_logo_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BDF" w:rsidRPr="00460EFD" w:rsidRDefault="00521BDF" w:rsidP="00521BDF">
      <w:pPr>
        <w:spacing w:after="0"/>
        <w:ind w:left="2880" w:hanging="2880"/>
        <w:jc w:val="center"/>
        <w:rPr>
          <w:b/>
          <w:i/>
          <w:color w:val="000000" w:themeColor="text1"/>
          <w:sz w:val="28"/>
          <w:szCs w:val="28"/>
        </w:rPr>
      </w:pPr>
    </w:p>
    <w:p w:rsidR="0010767F" w:rsidRPr="0010767F" w:rsidRDefault="000E0BE2" w:rsidP="0010767F">
      <w:pPr>
        <w:rPr>
          <w:b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101600</wp:posOffset>
                </wp:positionV>
                <wp:extent cx="4210050" cy="87439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000" w:rsidRDefault="00A3628D" w:rsidP="00D5511D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Programme Strategy Development </w:t>
                            </w:r>
                          </w:p>
                          <w:p w:rsidR="00D5511D" w:rsidRPr="00806000" w:rsidRDefault="00806000" w:rsidP="00D5511D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6000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0E0BE2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806000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op</w:t>
                            </w:r>
                            <w:r w:rsidR="000E0BE2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806000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up amount requested)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8.8pt;margin-top:8pt;width:331.5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ChIwIAACQEAAAOAAAAZHJzL2Uyb0RvYy54bWysU9tu2zAMfR+wfxD0vthxk7Ux4hRdugwD&#10;ugvQ7gNoWY6FSaInKbGzrx+lpGm2vQ3TgyCK5NHhIbW8HY1me+m8Qlvx6STnTFqBjbLbin972ry5&#10;4cwHsA1otLLiB+n57er1q+XQl7LADnUjHSMQ68uhr3gXQl9mmRedNOAn2EtLzhadgUCm22aNg4HQ&#10;jc6KPH+bDeia3qGQ3tPt/dHJVwm/baUIX9rWy8B0xYlbSLtLex33bLWEcuug75Q40YB/YGFAWXr0&#10;DHUPAdjOqb+gjBIOPbZhItBk2LZKyFQDVTPN/6jmsYNeplpIHN+fZfL/D1Z83n91TDUVv8qvObNg&#10;qElPcgzsHY6siPoMvS8p7LGnwDDSNfU51er7BxTfPbO47sBu5Z1zOHQSGuI3jZnZReoRx0eQeviE&#10;DT0Du4AJaGydieKRHIzQqU+Hc28iFUGXs2Ka53NyCfLdXM+uFvP0BJTP2b3z4YNEw+Kh4o56n9Bh&#10;/+BDZAPlc0h8zKNWzUZpnQy3rdfasT3QnGzSOqH/FqYtGyq+mBfzhGwx5qcRMirQHGtliFweV0yH&#10;Mqrx3jbpHEDp45mYaHuSJypy1CaM9Zg6kbSL0tXYHEgvh8expW9Ghw7dT84GGtmK+x87cJIz/dGS&#10;5ovpbBZnPBmz+XVBhrv01JcesIKgKh44Ox7XIf2LSNviHfWmVUm2FyYnyjSKSc3Tt4mzfmmnqJfP&#10;vfoFAAD//wMAUEsDBBQABgAIAAAAIQACBiff3QAAAAoBAAAPAAAAZHJzL2Rvd25yZXYueG1sTI/B&#10;TsMwEETvSPyDtUhcEHUobUxDnAqQQFxb+gGbZJtExOsodpv071lOcNyZp9mZfDu7Xp1pDJ1nCw+L&#10;BBRx5euOGwuHr/f7J1AhItfYeyYLFwqwLa6vcsxqP/GOzvvYKAnhkKGFNsYh0zpULTkMCz8Qi3f0&#10;o8Mo59joesRJwl2vl0mSaocdy4cWB3prqfren5yF4+d0t95M5Uc8mN0qfcXOlP5i7e3N/PIMKtIc&#10;/2D4rS/VoZBOpT9xHVRvYWlMKqgYqWwSYLNKRChFWD8a0EWu/08ofgAAAP//AwBQSwECLQAUAAYA&#10;CAAAACEAtoM4kv4AAADhAQAAEwAAAAAAAAAAAAAAAAAAAAAAW0NvbnRlbnRfVHlwZXNdLnhtbFBL&#10;AQItABQABgAIAAAAIQA4/SH/1gAAAJQBAAALAAAAAAAAAAAAAAAAAC8BAABfcmVscy8ucmVsc1BL&#10;AQItABQABgAIAAAAIQBsEdChIwIAACQEAAAOAAAAAAAAAAAAAAAAAC4CAABkcnMvZTJvRG9jLnht&#10;bFBLAQItABQABgAIAAAAIQACBiff3QAAAAoBAAAPAAAAAAAAAAAAAAAAAH0EAABkcnMvZG93bnJl&#10;di54bWxQSwUGAAAAAAQABADzAAAAhwUAAAAA&#10;" stroked="f">
                <v:textbox>
                  <w:txbxContent>
                    <w:p w:rsidR="00806000" w:rsidRDefault="00A3628D" w:rsidP="00D5511D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Programme Strategy Development </w:t>
                      </w:r>
                    </w:p>
                    <w:p w:rsidR="00D5511D" w:rsidRPr="00806000" w:rsidRDefault="00806000" w:rsidP="00D5511D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06000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0E0BE2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806000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op</w:t>
                      </w:r>
                      <w:r w:rsidR="000E0BE2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806000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up amount requested) </w:t>
                      </w:r>
                    </w:p>
                  </w:txbxContent>
                </v:textbox>
              </v:shape>
            </w:pict>
          </mc:Fallback>
        </mc:AlternateContent>
      </w:r>
      <w:r w:rsidR="00521BDF" w:rsidRPr="00460EFD">
        <w:rPr>
          <w:b/>
          <w:i/>
          <w:color w:val="000000" w:themeColor="text1"/>
          <w:sz w:val="28"/>
          <w:szCs w:val="28"/>
        </w:rPr>
        <w:t xml:space="preserve">   </w:t>
      </w:r>
      <w:r w:rsidR="00521BDF" w:rsidRPr="00460EFD">
        <w:rPr>
          <w:b/>
          <w:i/>
          <w:color w:val="000000" w:themeColor="text1"/>
          <w:sz w:val="28"/>
          <w:szCs w:val="28"/>
        </w:rPr>
        <w:tab/>
      </w:r>
    </w:p>
    <w:p w:rsidR="00521BDF" w:rsidRPr="00E40A7C" w:rsidRDefault="00521BDF" w:rsidP="002C1C9A">
      <w:pPr>
        <w:spacing w:after="0"/>
        <w:ind w:left="2880" w:hanging="2880"/>
        <w:jc w:val="center"/>
        <w:rPr>
          <w:b/>
          <w:i/>
          <w:color w:val="000000" w:themeColor="text1"/>
        </w:rPr>
      </w:pPr>
    </w:p>
    <w:tbl>
      <w:tblPr>
        <w:tblStyle w:val="MediumGrid3-Accent1"/>
        <w:tblpPr w:leftFromText="180" w:rightFromText="180" w:vertAnchor="text" w:horzAnchor="margin" w:tblpY="811"/>
        <w:tblW w:w="9606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656"/>
      </w:tblGrid>
      <w:tr w:rsidR="00B00BDB" w:rsidRPr="00CB1755" w:rsidTr="000E7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B00BDB" w:rsidRPr="00BA1890" w:rsidRDefault="00B00BDB" w:rsidP="00DC03FE">
            <w:pPr>
              <w:rPr>
                <w:b w:val="0"/>
                <w:i/>
                <w:color w:val="000000" w:themeColor="text1"/>
              </w:rPr>
            </w:pPr>
            <w:r w:rsidRPr="00BA1890">
              <w:t xml:space="preserve">I. Summary </w:t>
            </w:r>
          </w:p>
        </w:tc>
      </w:tr>
      <w:tr w:rsidR="00521BDF" w:rsidRPr="00CB1755" w:rsidTr="00A36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521BDF" w:rsidRPr="004916A5" w:rsidRDefault="00E74C1D" w:rsidP="00DC03FE">
            <w:pPr>
              <w:spacing w:after="100"/>
              <w:rPr>
                <w:b w:val="0"/>
              </w:rPr>
            </w:pPr>
            <w:r w:rsidRPr="004916A5">
              <w:t>O</w:t>
            </w:r>
            <w:r w:rsidR="00521BDF" w:rsidRPr="004916A5">
              <w:t>bjective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4916A5" w:rsidRPr="00A3628D" w:rsidRDefault="00A3628D" w:rsidP="00A3628D">
            <w:pPr>
              <w:pStyle w:val="ListParagraph"/>
              <w:spacing w:after="10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628D">
              <w:rPr>
                <w:rFonts w:cstheme="minorHAnsi"/>
                <w:color w:val="000000" w:themeColor="text1"/>
                <w:sz w:val="20"/>
                <w:szCs w:val="20"/>
              </w:rPr>
              <w:t xml:space="preserve">Position the programme for the </w:t>
            </w:r>
            <w:r w:rsidR="000E0BE2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A3628D">
              <w:rPr>
                <w:rFonts w:cstheme="minorHAnsi"/>
                <w:color w:val="000000" w:themeColor="text1"/>
                <w:sz w:val="20"/>
                <w:szCs w:val="20"/>
              </w:rPr>
              <w:t>ost 2015 period.</w:t>
            </w:r>
          </w:p>
        </w:tc>
      </w:tr>
      <w:tr w:rsidR="00521BDF" w:rsidRPr="00CB1755" w:rsidTr="000E7970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521BDF" w:rsidRPr="004916A5" w:rsidRDefault="00E74C1D" w:rsidP="00DC03FE">
            <w:pPr>
              <w:rPr>
                <w:b w:val="0"/>
              </w:rPr>
            </w:pPr>
            <w:r w:rsidRPr="004916A5">
              <w:t>Expected results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A3628D" w:rsidRPr="00A3628D" w:rsidRDefault="00A3628D" w:rsidP="00A3628D">
            <w:pPr>
              <w:pStyle w:val="ListParagraph"/>
              <w:numPr>
                <w:ilvl w:val="0"/>
                <w:numId w:val="16"/>
              </w:numPr>
              <w:ind w:left="31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28D">
              <w:rPr>
                <w:rFonts w:cstheme="minorHAnsi"/>
                <w:sz w:val="20"/>
                <w:szCs w:val="20"/>
              </w:rPr>
              <w:t>Systematic and detailed lessons learned from</w:t>
            </w:r>
            <w:r w:rsidR="000E0BE2">
              <w:rPr>
                <w:rFonts w:cstheme="minorHAnsi"/>
                <w:sz w:val="20"/>
                <w:szCs w:val="20"/>
              </w:rPr>
              <w:t xml:space="preserve"> the UN-REDD Progra</w:t>
            </w:r>
            <w:r w:rsidR="00B30AF3">
              <w:rPr>
                <w:rFonts w:cstheme="minorHAnsi"/>
                <w:sz w:val="20"/>
                <w:szCs w:val="20"/>
              </w:rPr>
              <w:t>m</w:t>
            </w:r>
            <w:r w:rsidR="000E0BE2">
              <w:rPr>
                <w:rFonts w:cstheme="minorHAnsi"/>
                <w:sz w:val="20"/>
                <w:szCs w:val="20"/>
              </w:rPr>
              <w:t>me’s</w:t>
            </w:r>
            <w:r w:rsidRPr="00A3628D">
              <w:rPr>
                <w:rFonts w:cstheme="minorHAnsi"/>
                <w:sz w:val="20"/>
                <w:szCs w:val="20"/>
              </w:rPr>
              <w:t xml:space="preserve"> first </w:t>
            </w:r>
            <w:r w:rsidR="000E0BE2">
              <w:rPr>
                <w:rFonts w:cstheme="minorHAnsi"/>
                <w:sz w:val="20"/>
                <w:szCs w:val="20"/>
              </w:rPr>
              <w:t>five years</w:t>
            </w:r>
            <w:r w:rsidRPr="00A3628D">
              <w:rPr>
                <w:rFonts w:cstheme="minorHAnsi"/>
                <w:sz w:val="20"/>
                <w:szCs w:val="20"/>
              </w:rPr>
              <w:t xml:space="preserve"> to inform </w:t>
            </w:r>
            <w:r w:rsidR="000E0BE2">
              <w:rPr>
                <w:rFonts w:cstheme="minorHAnsi"/>
                <w:sz w:val="20"/>
                <w:szCs w:val="20"/>
              </w:rPr>
              <w:t xml:space="preserve">a </w:t>
            </w:r>
            <w:r w:rsidRPr="00A3628D">
              <w:rPr>
                <w:rFonts w:cstheme="minorHAnsi"/>
                <w:sz w:val="20"/>
                <w:szCs w:val="20"/>
              </w:rPr>
              <w:t>Post 2015 Strategy.</w:t>
            </w:r>
          </w:p>
          <w:p w:rsidR="00A3628D" w:rsidRPr="00A3628D" w:rsidRDefault="00A3628D" w:rsidP="00A3628D">
            <w:pPr>
              <w:pStyle w:val="ListParagraph"/>
              <w:numPr>
                <w:ilvl w:val="0"/>
                <w:numId w:val="16"/>
              </w:numPr>
              <w:ind w:left="31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28D">
              <w:rPr>
                <w:rFonts w:cstheme="minorHAnsi"/>
                <w:sz w:val="20"/>
                <w:szCs w:val="20"/>
              </w:rPr>
              <w:t xml:space="preserve">Timeline and process for revision of </w:t>
            </w:r>
            <w:r w:rsidR="000E0BE2">
              <w:rPr>
                <w:rFonts w:cstheme="minorHAnsi"/>
                <w:sz w:val="20"/>
                <w:szCs w:val="20"/>
              </w:rPr>
              <w:t xml:space="preserve">the </w:t>
            </w:r>
            <w:r w:rsidRPr="00A3628D">
              <w:rPr>
                <w:rFonts w:cstheme="minorHAnsi"/>
                <w:sz w:val="20"/>
                <w:szCs w:val="20"/>
              </w:rPr>
              <w:t>Programme Strategy developed.</w:t>
            </w:r>
          </w:p>
          <w:p w:rsidR="00A3628D" w:rsidRPr="00A3628D" w:rsidRDefault="00A3628D" w:rsidP="00A3628D">
            <w:pPr>
              <w:pStyle w:val="ListParagraph"/>
              <w:numPr>
                <w:ilvl w:val="0"/>
                <w:numId w:val="16"/>
              </w:numPr>
              <w:ind w:left="31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28D">
              <w:rPr>
                <w:rFonts w:cstheme="minorHAnsi"/>
                <w:sz w:val="20"/>
                <w:szCs w:val="20"/>
              </w:rPr>
              <w:t xml:space="preserve">Initial consultations </w:t>
            </w:r>
            <w:r w:rsidR="000E0BE2">
              <w:rPr>
                <w:rFonts w:cstheme="minorHAnsi"/>
                <w:sz w:val="20"/>
                <w:szCs w:val="20"/>
              </w:rPr>
              <w:t xml:space="preserve">held </w:t>
            </w:r>
            <w:r w:rsidRPr="00A3628D">
              <w:rPr>
                <w:rFonts w:cstheme="minorHAnsi"/>
                <w:sz w:val="20"/>
                <w:szCs w:val="20"/>
              </w:rPr>
              <w:t xml:space="preserve">with </w:t>
            </w:r>
            <w:r w:rsidR="000E0BE2">
              <w:rPr>
                <w:rFonts w:cstheme="minorHAnsi"/>
                <w:sz w:val="20"/>
                <w:szCs w:val="20"/>
              </w:rPr>
              <w:t xml:space="preserve">the </w:t>
            </w:r>
            <w:r w:rsidRPr="00A3628D">
              <w:rPr>
                <w:rFonts w:cstheme="minorHAnsi"/>
                <w:sz w:val="20"/>
                <w:szCs w:val="20"/>
              </w:rPr>
              <w:t>P</w:t>
            </w:r>
            <w:r w:rsidR="000E0BE2">
              <w:rPr>
                <w:rFonts w:cstheme="minorHAnsi"/>
                <w:sz w:val="20"/>
                <w:szCs w:val="20"/>
              </w:rPr>
              <w:t xml:space="preserve">olicy </w:t>
            </w:r>
            <w:r w:rsidRPr="00A3628D">
              <w:rPr>
                <w:rFonts w:cstheme="minorHAnsi"/>
                <w:sz w:val="20"/>
                <w:szCs w:val="20"/>
              </w:rPr>
              <w:t>B</w:t>
            </w:r>
            <w:r w:rsidR="000E0BE2">
              <w:rPr>
                <w:rFonts w:cstheme="minorHAnsi"/>
                <w:sz w:val="20"/>
                <w:szCs w:val="20"/>
              </w:rPr>
              <w:t>oard</w:t>
            </w:r>
            <w:r w:rsidRPr="00A3628D">
              <w:rPr>
                <w:rFonts w:cstheme="minorHAnsi"/>
                <w:sz w:val="20"/>
                <w:szCs w:val="20"/>
              </w:rPr>
              <w:t xml:space="preserve"> and other stakeholders on </w:t>
            </w:r>
            <w:r w:rsidR="000E0BE2">
              <w:rPr>
                <w:rFonts w:cstheme="minorHAnsi"/>
                <w:sz w:val="20"/>
                <w:szCs w:val="20"/>
              </w:rPr>
              <w:t xml:space="preserve">the </w:t>
            </w:r>
            <w:r w:rsidRPr="00A3628D">
              <w:rPr>
                <w:rFonts w:cstheme="minorHAnsi"/>
                <w:sz w:val="20"/>
                <w:szCs w:val="20"/>
              </w:rPr>
              <w:t>Post 2015 Strategy.</w:t>
            </w:r>
          </w:p>
          <w:p w:rsidR="004916A5" w:rsidRPr="00A3628D" w:rsidRDefault="004916A5" w:rsidP="00A3628D">
            <w:pPr>
              <w:pStyle w:val="PlainText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7970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0E7970" w:rsidRPr="004916A5" w:rsidRDefault="000E7970" w:rsidP="000E7970">
            <w:r w:rsidRPr="004916A5">
              <w:t>Rationale for additional resources required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3628D" w:rsidRPr="00A3628D" w:rsidRDefault="0065250F" w:rsidP="00A36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B6034">
              <w:rPr>
                <w:rFonts w:cstheme="minorHAnsi"/>
                <w:sz w:val="20"/>
                <w:szCs w:val="20"/>
                <w:lang w:val="en-US"/>
              </w:rPr>
              <w:t xml:space="preserve">As the Programme’s existing </w:t>
            </w:r>
            <w:proofErr w:type="spellStart"/>
            <w:r w:rsidRPr="00CB6034">
              <w:rPr>
                <w:rFonts w:cstheme="minorHAnsi"/>
                <w:sz w:val="20"/>
                <w:szCs w:val="20"/>
                <w:lang w:val="en-US"/>
              </w:rPr>
              <w:t>MoU</w:t>
            </w:r>
            <w:proofErr w:type="spellEnd"/>
            <w:r w:rsidRPr="00CB6034">
              <w:rPr>
                <w:rFonts w:cstheme="minorHAnsi"/>
                <w:sz w:val="20"/>
                <w:szCs w:val="20"/>
                <w:lang w:val="en-US"/>
              </w:rPr>
              <w:t xml:space="preserve"> and Strategy extend until 2015, it is necessary to define arrangements for the Programme from 2016 onwards, building on work and achievements to date. </w:t>
            </w:r>
            <w:r w:rsidR="00A3628D" w:rsidRPr="00A3628D">
              <w:rPr>
                <w:rFonts w:cstheme="minorHAnsi"/>
                <w:sz w:val="20"/>
                <w:szCs w:val="20"/>
              </w:rPr>
              <w:t xml:space="preserve">In </w:t>
            </w:r>
            <w:r>
              <w:rPr>
                <w:rFonts w:cstheme="minorHAnsi"/>
                <w:sz w:val="20"/>
                <w:szCs w:val="20"/>
              </w:rPr>
              <w:t xml:space="preserve">particular, in </w:t>
            </w:r>
            <w:r w:rsidR="00A3628D" w:rsidRPr="00A3628D">
              <w:rPr>
                <w:rFonts w:cstheme="minorHAnsi"/>
                <w:sz w:val="20"/>
                <w:szCs w:val="20"/>
              </w:rPr>
              <w:t xml:space="preserve">order to position the Programme well for the Post 2015 period, it is necessary to revise the Programme Strategy, taking lessons learned to date into account, and developing a common vision to frame the next phase of the Programme. </w:t>
            </w:r>
          </w:p>
          <w:p w:rsidR="004916A5" w:rsidRPr="00A3628D" w:rsidRDefault="004916A5" w:rsidP="00A3628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21BDF" w:rsidRPr="00CB1755" w:rsidTr="00C27E15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521BDF" w:rsidRPr="004916A5" w:rsidRDefault="008A3599" w:rsidP="0076407E">
            <w:pPr>
              <w:rPr>
                <w:b w:val="0"/>
              </w:rPr>
            </w:pPr>
            <w:r w:rsidRPr="004916A5">
              <w:t xml:space="preserve">Level of intervention 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35E21" w:rsidRPr="00A3628D" w:rsidRDefault="00A3628D" w:rsidP="000E797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628D">
              <w:rPr>
                <w:rFonts w:cstheme="minorHAnsi"/>
                <w:color w:val="000000" w:themeColor="text1"/>
                <w:sz w:val="20"/>
                <w:szCs w:val="20"/>
              </w:rPr>
              <w:t>Global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regional,</w:t>
            </w:r>
            <w:r w:rsidR="000E0BE2">
              <w:rPr>
                <w:rFonts w:cstheme="minorHAnsi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country</w:t>
            </w:r>
          </w:p>
        </w:tc>
      </w:tr>
      <w:tr w:rsidR="000E7970" w:rsidRPr="00FB78C8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0E7970" w:rsidRPr="004916A5" w:rsidRDefault="000E7970" w:rsidP="00407372">
            <w:r w:rsidRPr="004916A5">
              <w:t>Examples of activities</w:t>
            </w:r>
            <w:r w:rsidR="00407372" w:rsidRPr="004916A5">
              <w:t xml:space="preserve"> in need of additional support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65250F" w:rsidRPr="0065250F" w:rsidRDefault="0065250F" w:rsidP="00652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50F">
              <w:rPr>
                <w:rFonts w:cstheme="minorHAnsi"/>
                <w:b/>
                <w:sz w:val="20"/>
                <w:szCs w:val="20"/>
                <w:lang w:val="en-US"/>
              </w:rPr>
              <w:t>Development of a robust multi</w:t>
            </w:r>
            <w:r w:rsidR="001359A4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65250F">
              <w:rPr>
                <w:rFonts w:cstheme="minorHAnsi"/>
                <w:b/>
                <w:sz w:val="20"/>
                <w:szCs w:val="20"/>
                <w:lang w:val="en-US"/>
              </w:rPr>
              <w:t xml:space="preserve">stakeholder process for </w:t>
            </w:r>
            <w:r w:rsidR="001359A4">
              <w:rPr>
                <w:rFonts w:cstheme="minorHAnsi"/>
                <w:b/>
                <w:sz w:val="20"/>
                <w:szCs w:val="20"/>
                <w:lang w:val="en-US"/>
              </w:rPr>
              <w:t xml:space="preserve">the </w:t>
            </w:r>
            <w:r w:rsidRPr="0065250F">
              <w:rPr>
                <w:rFonts w:cstheme="minorHAnsi"/>
                <w:b/>
                <w:sz w:val="20"/>
                <w:szCs w:val="20"/>
                <w:lang w:val="en-US"/>
              </w:rPr>
              <w:t xml:space="preserve">preparation of </w:t>
            </w:r>
            <w:r w:rsidR="000E0BE2">
              <w:rPr>
                <w:rFonts w:cstheme="minorHAnsi"/>
                <w:b/>
                <w:sz w:val="20"/>
                <w:szCs w:val="20"/>
                <w:lang w:val="en-US"/>
              </w:rPr>
              <w:t xml:space="preserve">a </w:t>
            </w:r>
            <w:r w:rsidRPr="0065250F">
              <w:rPr>
                <w:rFonts w:cstheme="minorHAnsi"/>
                <w:b/>
                <w:sz w:val="20"/>
                <w:szCs w:val="20"/>
                <w:lang w:val="en-US"/>
              </w:rPr>
              <w:t>Post 2015 Strategy</w:t>
            </w:r>
            <w:r w:rsidR="000E0BE2">
              <w:rPr>
                <w:rFonts w:cstheme="minorHAnsi"/>
                <w:b/>
                <w:sz w:val="20"/>
                <w:szCs w:val="20"/>
                <w:lang w:val="en-US"/>
              </w:rPr>
              <w:t>, t</w:t>
            </w:r>
            <w:r w:rsidRPr="0065250F">
              <w:rPr>
                <w:rFonts w:cstheme="minorHAnsi"/>
                <w:b/>
                <w:sz w:val="20"/>
                <w:szCs w:val="20"/>
                <w:lang w:val="en-US"/>
              </w:rPr>
              <w:t>o include:</w:t>
            </w:r>
            <w:r w:rsidRPr="0065250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65250F" w:rsidRDefault="00FB78C8" w:rsidP="00A3628D">
            <w:pPr>
              <w:pStyle w:val="ListParagraph"/>
              <w:numPr>
                <w:ilvl w:val="0"/>
                <w:numId w:val="15"/>
              </w:numPr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Discussion paper </w:t>
            </w:r>
            <w:r w:rsidRPr="0065250F">
              <w:rPr>
                <w:rFonts w:cstheme="minorHAnsi"/>
                <w:sz w:val="20"/>
                <w:szCs w:val="20"/>
              </w:rPr>
              <w:t>with analysis of UN-REDD Programme role in supporting countries beyond 2015, taking into consideration the climate change finance architecture, country needs for making progress in REDD+ implementation and completion of readiness phase, and the linkages of REDD+ and sustainable development</w:t>
            </w:r>
            <w:r w:rsidR="0065250F" w:rsidRPr="0065250F">
              <w:rPr>
                <w:rFonts w:cstheme="minorHAnsi"/>
                <w:sz w:val="20"/>
                <w:szCs w:val="20"/>
              </w:rPr>
              <w:t xml:space="preserve"> </w:t>
            </w:r>
            <w:r w:rsidRPr="0065250F">
              <w:rPr>
                <w:rFonts w:cstheme="minorHAnsi"/>
                <w:sz w:val="20"/>
                <w:szCs w:val="20"/>
              </w:rPr>
              <w:t>objectives.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65250F" w:rsidRPr="00326E50" w:rsidRDefault="00A3628D" w:rsidP="00A3628D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78C8">
              <w:rPr>
                <w:rFonts w:cstheme="minorHAnsi"/>
                <w:b/>
                <w:sz w:val="20"/>
                <w:szCs w:val="20"/>
              </w:rPr>
              <w:t xml:space="preserve">Consultations with stakeholders </w:t>
            </w:r>
            <w:r w:rsidRPr="00326E50">
              <w:rPr>
                <w:rFonts w:cstheme="minorHAnsi"/>
                <w:sz w:val="20"/>
                <w:szCs w:val="20"/>
              </w:rPr>
              <w:t xml:space="preserve">on </w:t>
            </w:r>
            <w:r w:rsidR="000E0BE2" w:rsidRPr="00326E50">
              <w:rPr>
                <w:rFonts w:cstheme="minorHAnsi"/>
                <w:sz w:val="20"/>
                <w:szCs w:val="20"/>
              </w:rPr>
              <w:t xml:space="preserve">the </w:t>
            </w:r>
            <w:r w:rsidRPr="00326E50">
              <w:rPr>
                <w:rFonts w:cstheme="minorHAnsi"/>
                <w:sz w:val="20"/>
                <w:szCs w:val="20"/>
              </w:rPr>
              <w:t>Post 2015 Strategy,</w:t>
            </w:r>
            <w:r w:rsidRPr="0065250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5250F">
              <w:rPr>
                <w:rFonts w:cstheme="minorHAnsi"/>
                <w:sz w:val="20"/>
                <w:szCs w:val="20"/>
              </w:rPr>
              <w:t xml:space="preserve">including during </w:t>
            </w:r>
            <w:r w:rsidRPr="00326E50">
              <w:rPr>
                <w:rFonts w:cstheme="minorHAnsi"/>
                <w:color w:val="000000" w:themeColor="text1"/>
                <w:sz w:val="20"/>
                <w:szCs w:val="20"/>
              </w:rPr>
              <w:t xml:space="preserve">PB11 and 12, which would include facilitating </w:t>
            </w:r>
            <w:r w:rsidR="000E0BE2" w:rsidRPr="00326E50">
              <w:rPr>
                <w:rFonts w:cstheme="minorHAnsi"/>
                <w:color w:val="000000" w:themeColor="text1"/>
                <w:sz w:val="20"/>
                <w:szCs w:val="20"/>
              </w:rPr>
              <w:t xml:space="preserve">the </w:t>
            </w:r>
            <w:r w:rsidRPr="00326E50">
              <w:rPr>
                <w:rFonts w:cstheme="minorHAnsi"/>
                <w:color w:val="000000" w:themeColor="text1"/>
                <w:sz w:val="20"/>
                <w:szCs w:val="20"/>
              </w:rPr>
              <w:t>sponsor</w:t>
            </w:r>
            <w:r w:rsidR="000E0BE2" w:rsidRPr="00326E50">
              <w:rPr>
                <w:rFonts w:cstheme="minorHAnsi"/>
                <w:color w:val="000000" w:themeColor="text1"/>
                <w:sz w:val="20"/>
                <w:szCs w:val="20"/>
              </w:rPr>
              <w:t>ship</w:t>
            </w:r>
            <w:r w:rsidRPr="00326E50">
              <w:rPr>
                <w:rFonts w:cstheme="minorHAnsi"/>
                <w:color w:val="000000" w:themeColor="text1"/>
                <w:sz w:val="20"/>
                <w:szCs w:val="20"/>
              </w:rPr>
              <w:t xml:space="preserve"> of additional participants to enable fully representative discussions and engagement in the process. </w:t>
            </w:r>
          </w:p>
          <w:p w:rsidR="000E7970" w:rsidRPr="00326E50" w:rsidRDefault="00A3628D" w:rsidP="0065250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26E50">
              <w:rPr>
                <w:rFonts w:cstheme="minorHAnsi"/>
                <w:color w:val="000000" w:themeColor="text1"/>
                <w:sz w:val="20"/>
                <w:szCs w:val="20"/>
              </w:rPr>
              <w:t xml:space="preserve">Development of the Post 2015 Strategy would be supported by contracting </w:t>
            </w:r>
            <w:r w:rsidR="00FB78C8" w:rsidRPr="00326E50">
              <w:rPr>
                <w:rFonts w:cstheme="minorHAnsi"/>
                <w:color w:val="000000" w:themeColor="text1"/>
                <w:sz w:val="20"/>
                <w:szCs w:val="20"/>
              </w:rPr>
              <w:t>a consultant</w:t>
            </w:r>
            <w:r w:rsidRPr="00326E50">
              <w:rPr>
                <w:rFonts w:cstheme="minorHAnsi"/>
                <w:color w:val="000000" w:themeColor="text1"/>
                <w:sz w:val="20"/>
                <w:szCs w:val="20"/>
              </w:rPr>
              <w:t xml:space="preserve"> to provide continued external support. </w:t>
            </w:r>
          </w:p>
          <w:p w:rsidR="00CA10CE" w:rsidRDefault="00CA10CE" w:rsidP="00326E50">
            <w:pPr>
              <w:pStyle w:val="ListParagraph"/>
              <w:ind w:left="284" w:hanging="2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:rsidR="00CA10CE" w:rsidRPr="0065250F" w:rsidRDefault="00CA10CE" w:rsidP="00326E50">
            <w:pPr>
              <w:pStyle w:val="ListParagraph"/>
              <w:ind w:left="284" w:hanging="2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26E50">
              <w:rPr>
                <w:rFonts w:ascii="Calibri" w:hAnsi="Calibri" w:cs="Calibri"/>
                <w:color w:val="000000" w:themeColor="text1"/>
                <w:lang w:val="en-US"/>
              </w:rPr>
              <w:t>In addition, meeting of the Policy Board Review Working Group.</w:t>
            </w:r>
          </w:p>
        </w:tc>
      </w:tr>
      <w:tr w:rsidR="00521BDF" w:rsidRPr="00FB78C8" w:rsidTr="00C2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521BDF" w:rsidRPr="0065250F" w:rsidRDefault="000E7970" w:rsidP="00806000">
            <w:pPr>
              <w:pStyle w:val="FootnoteText"/>
              <w:rPr>
                <w:rFonts w:cstheme="minorHAnsi"/>
              </w:rPr>
            </w:pPr>
            <w:r w:rsidRPr="0065250F">
              <w:rPr>
                <w:rFonts w:cstheme="minorHAnsi"/>
              </w:rPr>
              <w:t>Related Outcome</w:t>
            </w:r>
            <w:r w:rsidR="00806000" w:rsidRPr="0065250F">
              <w:rPr>
                <w:rFonts w:cstheme="minorHAnsi"/>
              </w:rPr>
              <w:t xml:space="preserve">s </w:t>
            </w:r>
            <w:r w:rsidRPr="0065250F">
              <w:rPr>
                <w:rFonts w:cstheme="minorHAnsi"/>
              </w:rPr>
              <w:t xml:space="preserve">of the Support to National REDD+ </w:t>
            </w:r>
            <w:r w:rsidRPr="0065250F">
              <w:rPr>
                <w:rFonts w:cstheme="minorHAnsi"/>
              </w:rPr>
              <w:lastRenderedPageBreak/>
              <w:t>Action: Global Programme Framework 2011-2015.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A3628D" w:rsidRPr="00FB78C8" w:rsidRDefault="00A3628D" w:rsidP="00A3628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65250F">
              <w:rPr>
                <w:rFonts w:cstheme="minorHAnsi"/>
                <w:b/>
                <w:sz w:val="20"/>
                <w:szCs w:val="20"/>
              </w:rPr>
              <w:lastRenderedPageBreak/>
              <w:t xml:space="preserve">Outcome 8 </w:t>
            </w:r>
            <w:r w:rsidR="00B30AF3" w:rsidRPr="00B30AF3">
              <w:rPr>
                <w:rFonts w:cstheme="minorHAnsi"/>
                <w:bCs/>
                <w:sz w:val="20"/>
                <w:szCs w:val="20"/>
              </w:rPr>
              <w:t xml:space="preserve">of the </w:t>
            </w:r>
            <w:r w:rsidR="00B30AF3" w:rsidRPr="00B30AF3">
              <w:rPr>
                <w:rFonts w:cstheme="minorHAnsi"/>
                <w:sz w:val="20"/>
                <w:szCs w:val="20"/>
                <w:lang w:eastAsia="en-US"/>
              </w:rPr>
              <w:t xml:space="preserve">Support to National REDD+ Action: Global Programme </w:t>
            </w:r>
            <w:r w:rsidR="00B30AF3" w:rsidRPr="00B30AF3">
              <w:rPr>
                <w:rFonts w:cstheme="minorHAnsi"/>
                <w:sz w:val="20"/>
                <w:szCs w:val="20"/>
                <w:lang w:eastAsia="en-US"/>
              </w:rPr>
              <w:lastRenderedPageBreak/>
              <w:t>Framework 2011-2015</w:t>
            </w:r>
            <w:r w:rsidR="00B30AF3" w:rsidRPr="00B30AF3">
              <w:rPr>
                <w:rFonts w:cstheme="minorHAnsi"/>
                <w:sz w:val="20"/>
                <w:szCs w:val="20"/>
              </w:rPr>
              <w:t xml:space="preserve"> (SNA)</w:t>
            </w:r>
            <w:r w:rsidR="00B30AF3">
              <w:rPr>
                <w:rFonts w:cstheme="minorHAnsi"/>
                <w:sz w:val="20"/>
                <w:szCs w:val="20"/>
              </w:rPr>
              <w:t xml:space="preserve"> </w:t>
            </w:r>
            <w:r w:rsidRPr="00326E50">
              <w:rPr>
                <w:rFonts w:cstheme="minorHAnsi"/>
                <w:sz w:val="20"/>
                <w:szCs w:val="20"/>
              </w:rPr>
              <w:t>includes</w:t>
            </w:r>
            <w:r w:rsidRPr="00B30AF3">
              <w:rPr>
                <w:rFonts w:cstheme="minorHAnsi"/>
                <w:sz w:val="20"/>
                <w:szCs w:val="20"/>
              </w:rPr>
              <w:t xml:space="preserve"> the UN-REDD Programme Strategy, which currently covers the period 2011-2015.</w:t>
            </w:r>
            <w:r w:rsidRPr="00FB78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07372" w:rsidRPr="00FB78C8" w:rsidRDefault="00407372" w:rsidP="0084624A">
            <w:pPr>
              <w:spacing w:after="1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21BDF" w:rsidRPr="00FB78C8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521BDF" w:rsidRPr="0065250F" w:rsidRDefault="00E74C1D" w:rsidP="00DC03FE">
            <w:pPr>
              <w:spacing w:after="100" w:line="276" w:lineRule="auto"/>
              <w:rPr>
                <w:rFonts w:cstheme="minorHAnsi"/>
                <w:i/>
                <w:sz w:val="20"/>
                <w:szCs w:val="20"/>
              </w:rPr>
            </w:pPr>
            <w:r w:rsidRPr="0065250F">
              <w:rPr>
                <w:rFonts w:cstheme="minorHAnsi"/>
                <w:sz w:val="20"/>
                <w:szCs w:val="20"/>
              </w:rPr>
              <w:lastRenderedPageBreak/>
              <w:t>Duration</w:t>
            </w:r>
            <w:r w:rsidR="00521BDF" w:rsidRPr="0065250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521BDF" w:rsidRPr="00FB78C8" w:rsidRDefault="00B30AF3" w:rsidP="00B30AF3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26E50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0E7970" w:rsidRPr="00326E5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35E21" w:rsidRPr="00326E50">
              <w:rPr>
                <w:rFonts w:cstheme="minorHAnsi"/>
                <w:color w:val="000000" w:themeColor="text1"/>
                <w:sz w:val="20"/>
                <w:szCs w:val="20"/>
              </w:rPr>
              <w:t>months</w:t>
            </w:r>
            <w:r w:rsidR="00235E21" w:rsidRPr="00FB78C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A3599" w:rsidRPr="00CB1755" w:rsidTr="00C27E1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tcBorders>
              <w:left w:val="none" w:sz="0" w:space="0" w:color="auto"/>
              <w:right w:val="none" w:sz="0" w:space="0" w:color="auto"/>
            </w:tcBorders>
            <w:shd w:val="clear" w:color="auto" w:fill="1F497D" w:themeFill="text2"/>
          </w:tcPr>
          <w:p w:rsidR="008A3599" w:rsidRPr="004916A5" w:rsidRDefault="008A3599" w:rsidP="00DC03FE">
            <w:pPr>
              <w:spacing w:after="100"/>
            </w:pPr>
            <w:r w:rsidRPr="0065250F">
              <w:rPr>
                <w:rFonts w:cstheme="minorHAnsi"/>
                <w:sz w:val="20"/>
                <w:szCs w:val="20"/>
              </w:rPr>
              <w:t>Total am</w:t>
            </w:r>
            <w:r w:rsidRPr="004916A5">
              <w:t>ount requested (US</w:t>
            </w:r>
            <w:r w:rsidRPr="004916A5">
              <w:rPr>
                <w:rFonts w:cstheme="minorHAnsi"/>
              </w:rPr>
              <w:t>$</w:t>
            </w:r>
            <w:r w:rsidRPr="004916A5">
              <w:t>)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8A3599" w:rsidRPr="00A3628D" w:rsidRDefault="00BA5D7A" w:rsidP="00CA10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628D">
              <w:rPr>
                <w:rStyle w:val="HTMLTypewriter"/>
                <w:rFonts w:asciiTheme="minorHAnsi" w:hAnsiTheme="minorHAnsi" w:cstheme="minorHAnsi"/>
              </w:rPr>
              <w:t xml:space="preserve">US$ </w:t>
            </w:r>
            <w:r w:rsidR="00CA10CE">
              <w:rPr>
                <w:rStyle w:val="HTMLTypewriter"/>
                <w:rFonts w:asciiTheme="minorHAnsi" w:hAnsiTheme="minorHAnsi" w:cstheme="minorHAnsi"/>
              </w:rPr>
              <w:t>500,</w:t>
            </w:r>
            <w:commentRangeStart w:id="1"/>
            <w:r w:rsidR="00CA10CE">
              <w:rPr>
                <w:rStyle w:val="HTMLTypewriter"/>
                <w:rFonts w:asciiTheme="minorHAnsi" w:hAnsiTheme="minorHAnsi" w:cstheme="minorHAnsi"/>
              </w:rPr>
              <w:t>000</w:t>
            </w:r>
            <w:commentRangeEnd w:id="1"/>
            <w:r w:rsidR="00CA10CE">
              <w:rPr>
                <w:rStyle w:val="CommentReference"/>
              </w:rPr>
              <w:commentReference w:id="1"/>
            </w:r>
            <w:r w:rsidRPr="00A3628D">
              <w:rPr>
                <w:rStyle w:val="HTMLTypewriter"/>
                <w:rFonts w:asciiTheme="minorHAnsi" w:hAnsiTheme="minorHAnsi" w:cstheme="minorHAnsi"/>
              </w:rPr>
              <w:t xml:space="preserve"> </w:t>
            </w:r>
          </w:p>
        </w:tc>
      </w:tr>
    </w:tbl>
    <w:p w:rsidR="008A3599" w:rsidRDefault="008A3599">
      <w:pPr>
        <w:rPr>
          <w:b/>
          <w:color w:val="1F497D" w:themeColor="text2"/>
          <w:sz w:val="28"/>
          <w:szCs w:val="28"/>
        </w:rPr>
      </w:pPr>
    </w:p>
    <w:sectPr w:rsidR="008A3599" w:rsidSect="000E7970">
      <w:pgSz w:w="12240" w:h="15840"/>
      <w:pgMar w:top="1135" w:right="1440" w:bottom="1135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Helena ERIKSSON" w:date="2013-10-02T08:14:00Z" w:initials="HE">
    <w:p w:rsidR="00CA10CE" w:rsidRDefault="00CA10CE" w:rsidP="00CA10CE">
      <w:pPr>
        <w:rPr>
          <w:color w:val="000000"/>
        </w:rPr>
      </w:pPr>
      <w:r>
        <w:rPr>
          <w:rStyle w:val="CommentReference"/>
        </w:rPr>
        <w:annotationRef/>
      </w:r>
      <w:r>
        <w:rPr>
          <w:color w:val="000000"/>
        </w:rPr>
        <w:t>With regard to the indirect support cost (7 %), if not added, the assumption is that the budget is inclusive of the indirect support costs. To be agreed on.</w:t>
      </w:r>
    </w:p>
    <w:p w:rsidR="00CA10CE" w:rsidRDefault="00CA10CE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0A" w:rsidRDefault="00CA150A" w:rsidP="00F6513A">
      <w:pPr>
        <w:spacing w:after="0" w:line="240" w:lineRule="auto"/>
      </w:pPr>
      <w:r>
        <w:separator/>
      </w:r>
    </w:p>
  </w:endnote>
  <w:endnote w:type="continuationSeparator" w:id="0">
    <w:p w:rsidR="00CA150A" w:rsidRDefault="00CA150A" w:rsidP="00F6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0A" w:rsidRDefault="00CA150A" w:rsidP="00F6513A">
      <w:pPr>
        <w:spacing w:after="0" w:line="240" w:lineRule="auto"/>
      </w:pPr>
      <w:r>
        <w:separator/>
      </w:r>
    </w:p>
  </w:footnote>
  <w:footnote w:type="continuationSeparator" w:id="0">
    <w:p w:rsidR="00CA150A" w:rsidRDefault="00CA150A" w:rsidP="00F6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4E1"/>
    <w:multiLevelType w:val="hybridMultilevel"/>
    <w:tmpl w:val="6C2EAD46"/>
    <w:lvl w:ilvl="0" w:tplc="F838FD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46C3"/>
    <w:multiLevelType w:val="hybridMultilevel"/>
    <w:tmpl w:val="174AC7FA"/>
    <w:lvl w:ilvl="0" w:tplc="3F5626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26234"/>
    <w:multiLevelType w:val="hybridMultilevel"/>
    <w:tmpl w:val="60D68DBC"/>
    <w:lvl w:ilvl="0" w:tplc="3AEAA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7353A"/>
    <w:multiLevelType w:val="hybridMultilevel"/>
    <w:tmpl w:val="56E87516"/>
    <w:lvl w:ilvl="0" w:tplc="0CA6B3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263BA"/>
    <w:multiLevelType w:val="multilevel"/>
    <w:tmpl w:val="ABC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5">
    <w:nsid w:val="27581FA2"/>
    <w:multiLevelType w:val="hybridMultilevel"/>
    <w:tmpl w:val="F924A4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17F7E"/>
    <w:multiLevelType w:val="multilevel"/>
    <w:tmpl w:val="C9288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EBC0C32"/>
    <w:multiLevelType w:val="hybridMultilevel"/>
    <w:tmpl w:val="64021E86"/>
    <w:lvl w:ilvl="0" w:tplc="6D48C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06295"/>
    <w:multiLevelType w:val="hybridMultilevel"/>
    <w:tmpl w:val="68308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F5805"/>
    <w:multiLevelType w:val="hybridMultilevel"/>
    <w:tmpl w:val="05608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8C90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AB5146"/>
    <w:multiLevelType w:val="hybridMultilevel"/>
    <w:tmpl w:val="0608C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D6680"/>
    <w:multiLevelType w:val="hybridMultilevel"/>
    <w:tmpl w:val="1FD0F3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0616248"/>
    <w:multiLevelType w:val="hybridMultilevel"/>
    <w:tmpl w:val="0742B56A"/>
    <w:lvl w:ilvl="0" w:tplc="3AEAA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F2041"/>
    <w:multiLevelType w:val="multilevel"/>
    <w:tmpl w:val="2392F3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4">
    <w:nsid w:val="62C86A92"/>
    <w:multiLevelType w:val="hybridMultilevel"/>
    <w:tmpl w:val="C0B2283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E6363"/>
    <w:multiLevelType w:val="hybridMultilevel"/>
    <w:tmpl w:val="8EEC99E8"/>
    <w:lvl w:ilvl="0" w:tplc="8D1C09D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66" w:hanging="360"/>
      </w:pPr>
    </w:lvl>
    <w:lvl w:ilvl="2" w:tplc="0809001B" w:tentative="1">
      <w:start w:val="1"/>
      <w:numFmt w:val="lowerRoman"/>
      <w:lvlText w:val="%3."/>
      <w:lvlJc w:val="right"/>
      <w:pPr>
        <w:ind w:left="5486" w:hanging="180"/>
      </w:pPr>
    </w:lvl>
    <w:lvl w:ilvl="3" w:tplc="0809000F" w:tentative="1">
      <w:start w:val="1"/>
      <w:numFmt w:val="decimal"/>
      <w:lvlText w:val="%4."/>
      <w:lvlJc w:val="left"/>
      <w:pPr>
        <w:ind w:left="6206" w:hanging="360"/>
      </w:pPr>
    </w:lvl>
    <w:lvl w:ilvl="4" w:tplc="08090019" w:tentative="1">
      <w:start w:val="1"/>
      <w:numFmt w:val="lowerLetter"/>
      <w:lvlText w:val="%5."/>
      <w:lvlJc w:val="left"/>
      <w:pPr>
        <w:ind w:left="6926" w:hanging="360"/>
      </w:pPr>
    </w:lvl>
    <w:lvl w:ilvl="5" w:tplc="0809001B" w:tentative="1">
      <w:start w:val="1"/>
      <w:numFmt w:val="lowerRoman"/>
      <w:lvlText w:val="%6."/>
      <w:lvlJc w:val="right"/>
      <w:pPr>
        <w:ind w:left="7646" w:hanging="180"/>
      </w:pPr>
    </w:lvl>
    <w:lvl w:ilvl="6" w:tplc="0809000F" w:tentative="1">
      <w:start w:val="1"/>
      <w:numFmt w:val="decimal"/>
      <w:lvlText w:val="%7."/>
      <w:lvlJc w:val="left"/>
      <w:pPr>
        <w:ind w:left="8366" w:hanging="360"/>
      </w:pPr>
    </w:lvl>
    <w:lvl w:ilvl="7" w:tplc="08090019" w:tentative="1">
      <w:start w:val="1"/>
      <w:numFmt w:val="lowerLetter"/>
      <w:lvlText w:val="%8."/>
      <w:lvlJc w:val="left"/>
      <w:pPr>
        <w:ind w:left="9086" w:hanging="360"/>
      </w:pPr>
    </w:lvl>
    <w:lvl w:ilvl="8" w:tplc="080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15"/>
  </w:num>
  <w:num w:numId="6">
    <w:abstractNumId w:val="3"/>
  </w:num>
  <w:num w:numId="7">
    <w:abstractNumId w:val="9"/>
  </w:num>
  <w:num w:numId="8">
    <w:abstractNumId w:val="14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0"/>
  </w:num>
  <w:num w:numId="14">
    <w:abstractNumId w:val="1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56"/>
    <w:rsid w:val="000004E1"/>
    <w:rsid w:val="00073435"/>
    <w:rsid w:val="00080E00"/>
    <w:rsid w:val="000B6BE1"/>
    <w:rsid w:val="000C19CD"/>
    <w:rsid w:val="000C62A5"/>
    <w:rsid w:val="000E0BE2"/>
    <w:rsid w:val="000E0FB3"/>
    <w:rsid w:val="000E7970"/>
    <w:rsid w:val="000F76A2"/>
    <w:rsid w:val="0010767F"/>
    <w:rsid w:val="00133309"/>
    <w:rsid w:val="001359A4"/>
    <w:rsid w:val="00136713"/>
    <w:rsid w:val="001554C9"/>
    <w:rsid w:val="001624A6"/>
    <w:rsid w:val="00164B42"/>
    <w:rsid w:val="00175884"/>
    <w:rsid w:val="001A34EF"/>
    <w:rsid w:val="001B0B4E"/>
    <w:rsid w:val="001B47D3"/>
    <w:rsid w:val="001C47A0"/>
    <w:rsid w:val="001C7E9B"/>
    <w:rsid w:val="0021768F"/>
    <w:rsid w:val="00235E21"/>
    <w:rsid w:val="00245BFF"/>
    <w:rsid w:val="0029519A"/>
    <w:rsid w:val="002A6CF6"/>
    <w:rsid w:val="002C1C9A"/>
    <w:rsid w:val="002C4C56"/>
    <w:rsid w:val="002C6DDA"/>
    <w:rsid w:val="00311463"/>
    <w:rsid w:val="00316C69"/>
    <w:rsid w:val="003236AD"/>
    <w:rsid w:val="00326E50"/>
    <w:rsid w:val="00344F50"/>
    <w:rsid w:val="003A6887"/>
    <w:rsid w:val="00402AB3"/>
    <w:rsid w:val="00405D48"/>
    <w:rsid w:val="00407372"/>
    <w:rsid w:val="00460EFD"/>
    <w:rsid w:val="00464205"/>
    <w:rsid w:val="004916A5"/>
    <w:rsid w:val="004960AE"/>
    <w:rsid w:val="004A78B8"/>
    <w:rsid w:val="004B152B"/>
    <w:rsid w:val="004B5E54"/>
    <w:rsid w:val="004C10C6"/>
    <w:rsid w:val="004C1491"/>
    <w:rsid w:val="004D14A8"/>
    <w:rsid w:val="004E1B8C"/>
    <w:rsid w:val="005012EC"/>
    <w:rsid w:val="00507EDF"/>
    <w:rsid w:val="00521BDF"/>
    <w:rsid w:val="00527654"/>
    <w:rsid w:val="005465DB"/>
    <w:rsid w:val="00546672"/>
    <w:rsid w:val="00554C5E"/>
    <w:rsid w:val="00567993"/>
    <w:rsid w:val="005D4C49"/>
    <w:rsid w:val="005E735D"/>
    <w:rsid w:val="005F0470"/>
    <w:rsid w:val="00603774"/>
    <w:rsid w:val="00624FBD"/>
    <w:rsid w:val="00644230"/>
    <w:rsid w:val="0065086E"/>
    <w:rsid w:val="0065250F"/>
    <w:rsid w:val="00656CF4"/>
    <w:rsid w:val="0067223B"/>
    <w:rsid w:val="006847C9"/>
    <w:rsid w:val="006F43F0"/>
    <w:rsid w:val="006F7589"/>
    <w:rsid w:val="00712687"/>
    <w:rsid w:val="00733547"/>
    <w:rsid w:val="0074170A"/>
    <w:rsid w:val="0076407E"/>
    <w:rsid w:val="00777C90"/>
    <w:rsid w:val="007943A7"/>
    <w:rsid w:val="007C6938"/>
    <w:rsid w:val="007C7F9F"/>
    <w:rsid w:val="007F3C3D"/>
    <w:rsid w:val="007F50B7"/>
    <w:rsid w:val="00806000"/>
    <w:rsid w:val="0084624A"/>
    <w:rsid w:val="00850AD1"/>
    <w:rsid w:val="008843D5"/>
    <w:rsid w:val="00893058"/>
    <w:rsid w:val="00895D02"/>
    <w:rsid w:val="008A3599"/>
    <w:rsid w:val="008A426C"/>
    <w:rsid w:val="008A431F"/>
    <w:rsid w:val="008B6484"/>
    <w:rsid w:val="008C1765"/>
    <w:rsid w:val="008D4FBF"/>
    <w:rsid w:val="008E18D4"/>
    <w:rsid w:val="008F1D6F"/>
    <w:rsid w:val="00906145"/>
    <w:rsid w:val="00925ACE"/>
    <w:rsid w:val="00931B9E"/>
    <w:rsid w:val="00936C97"/>
    <w:rsid w:val="009D3606"/>
    <w:rsid w:val="009F5C47"/>
    <w:rsid w:val="00A13DD1"/>
    <w:rsid w:val="00A23736"/>
    <w:rsid w:val="00A3628D"/>
    <w:rsid w:val="00A378F6"/>
    <w:rsid w:val="00A80BD4"/>
    <w:rsid w:val="00A87698"/>
    <w:rsid w:val="00A947C9"/>
    <w:rsid w:val="00A94931"/>
    <w:rsid w:val="00AD77DE"/>
    <w:rsid w:val="00AF4DF3"/>
    <w:rsid w:val="00AF6D73"/>
    <w:rsid w:val="00B00BDB"/>
    <w:rsid w:val="00B30AF3"/>
    <w:rsid w:val="00BA1890"/>
    <w:rsid w:val="00BA5D7A"/>
    <w:rsid w:val="00BE3F7B"/>
    <w:rsid w:val="00C14438"/>
    <w:rsid w:val="00C27E15"/>
    <w:rsid w:val="00C526DC"/>
    <w:rsid w:val="00C644ED"/>
    <w:rsid w:val="00C93D25"/>
    <w:rsid w:val="00CA10CE"/>
    <w:rsid w:val="00CA150A"/>
    <w:rsid w:val="00CB1755"/>
    <w:rsid w:val="00CB5F66"/>
    <w:rsid w:val="00D0097D"/>
    <w:rsid w:val="00D5511D"/>
    <w:rsid w:val="00D773F0"/>
    <w:rsid w:val="00D77A5A"/>
    <w:rsid w:val="00D80678"/>
    <w:rsid w:val="00DC03FE"/>
    <w:rsid w:val="00DE7DB1"/>
    <w:rsid w:val="00E06AA0"/>
    <w:rsid w:val="00E16F54"/>
    <w:rsid w:val="00E40A7C"/>
    <w:rsid w:val="00E6511F"/>
    <w:rsid w:val="00E74C1D"/>
    <w:rsid w:val="00E91C2F"/>
    <w:rsid w:val="00E9652B"/>
    <w:rsid w:val="00F2389B"/>
    <w:rsid w:val="00F25E42"/>
    <w:rsid w:val="00F36562"/>
    <w:rsid w:val="00F56331"/>
    <w:rsid w:val="00F6513A"/>
    <w:rsid w:val="00F67E89"/>
    <w:rsid w:val="00F848B3"/>
    <w:rsid w:val="00FB0485"/>
    <w:rsid w:val="00FB5797"/>
    <w:rsid w:val="00FB78C8"/>
    <w:rsid w:val="00FC02E7"/>
    <w:rsid w:val="00FD390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1F"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UN-10Bodycopy">
    <w:name w:val="UN-10 Body copy"/>
    <w:link w:val="UN-10BodycopyChar"/>
    <w:uiPriority w:val="99"/>
    <w:qFormat/>
    <w:rsid w:val="00D5511D"/>
    <w:pPr>
      <w:spacing w:after="240" w:line="280" w:lineRule="atLeast"/>
      <w:jc w:val="both"/>
    </w:pPr>
    <w:rPr>
      <w:rFonts w:eastAsia="Times New Roman" w:cs="Times New Roman"/>
      <w:szCs w:val="20"/>
      <w:lang w:val="en-US" w:eastAsia="en-US"/>
    </w:rPr>
  </w:style>
  <w:style w:type="character" w:customStyle="1" w:styleId="UN-10BodycopyChar">
    <w:name w:val="UN-10 Body copy Char"/>
    <w:link w:val="UN-10Bodycopy"/>
    <w:uiPriority w:val="99"/>
    <w:rsid w:val="00D5511D"/>
    <w:rPr>
      <w:rFonts w:eastAsia="Times New Roman" w:cs="Times New Roman"/>
      <w:szCs w:val="20"/>
      <w:lang w:val="en-US"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806000"/>
    <w:rPr>
      <w:rFonts w:ascii="Courier New" w:eastAsiaTheme="minorHAnsi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A5D7A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A5D7A"/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Revision">
    <w:name w:val="Revision"/>
    <w:hidden/>
    <w:uiPriority w:val="99"/>
    <w:semiHidden/>
    <w:rsid w:val="00CA10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1F"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UN-10Bodycopy">
    <w:name w:val="UN-10 Body copy"/>
    <w:link w:val="UN-10BodycopyChar"/>
    <w:uiPriority w:val="99"/>
    <w:qFormat/>
    <w:rsid w:val="00D5511D"/>
    <w:pPr>
      <w:spacing w:after="240" w:line="280" w:lineRule="atLeast"/>
      <w:jc w:val="both"/>
    </w:pPr>
    <w:rPr>
      <w:rFonts w:eastAsia="Times New Roman" w:cs="Times New Roman"/>
      <w:szCs w:val="20"/>
      <w:lang w:val="en-US" w:eastAsia="en-US"/>
    </w:rPr>
  </w:style>
  <w:style w:type="character" w:customStyle="1" w:styleId="UN-10BodycopyChar">
    <w:name w:val="UN-10 Body copy Char"/>
    <w:link w:val="UN-10Bodycopy"/>
    <w:uiPriority w:val="99"/>
    <w:rsid w:val="00D5511D"/>
    <w:rPr>
      <w:rFonts w:eastAsia="Times New Roman" w:cs="Times New Roman"/>
      <w:szCs w:val="20"/>
      <w:lang w:val="en-US"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806000"/>
    <w:rPr>
      <w:rFonts w:ascii="Courier New" w:eastAsiaTheme="minorHAnsi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A5D7A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A5D7A"/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Revision">
    <w:name w:val="Revision"/>
    <w:hidden/>
    <w:uiPriority w:val="99"/>
    <w:semiHidden/>
    <w:rsid w:val="00CA1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7349-D35E-41A7-96C5-83C9EC7D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Helena ERIKSSON</cp:lastModifiedBy>
  <cp:revision>3</cp:revision>
  <dcterms:created xsi:type="dcterms:W3CDTF">2013-10-02T08:09:00Z</dcterms:created>
  <dcterms:modified xsi:type="dcterms:W3CDTF">2013-10-02T08:25:00Z</dcterms:modified>
</cp:coreProperties>
</file>