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74" w:rsidRPr="00173889" w:rsidRDefault="00447F74" w:rsidP="00447F74">
      <w:pPr>
        <w:pStyle w:val="Title"/>
        <w:jc w:val="center"/>
        <w:rPr>
          <w:b/>
          <w:color w:val="365F91" w:themeColor="accent1" w:themeShade="BF"/>
          <w:sz w:val="32"/>
          <w:szCs w:val="32"/>
        </w:rPr>
      </w:pPr>
      <w:r w:rsidRPr="00173889">
        <w:rPr>
          <w:b/>
          <w:color w:val="365F91" w:themeColor="accent1" w:themeShade="BF"/>
          <w:sz w:val="32"/>
          <w:szCs w:val="32"/>
        </w:rPr>
        <w:t xml:space="preserve">A </w:t>
      </w:r>
      <w:r w:rsidR="00B02E23">
        <w:rPr>
          <w:b/>
          <w:color w:val="365F91" w:themeColor="accent1" w:themeShade="BF"/>
          <w:sz w:val="32"/>
          <w:szCs w:val="32"/>
        </w:rPr>
        <w:t>Coordinated</w:t>
      </w:r>
      <w:r w:rsidRPr="00173889">
        <w:rPr>
          <w:b/>
          <w:color w:val="365F91" w:themeColor="accent1" w:themeShade="BF"/>
          <w:sz w:val="32"/>
          <w:szCs w:val="32"/>
        </w:rPr>
        <w:t xml:space="preserve"> Approach to Social and Environmental Sustainability and Accountability: </w:t>
      </w:r>
    </w:p>
    <w:p w:rsidR="00447F74" w:rsidRPr="00173889" w:rsidRDefault="00447F74" w:rsidP="00447F74">
      <w:pPr>
        <w:pStyle w:val="Title"/>
        <w:jc w:val="center"/>
        <w:rPr>
          <w:b/>
          <w:color w:val="365F91" w:themeColor="accent1" w:themeShade="BF"/>
          <w:sz w:val="32"/>
          <w:szCs w:val="32"/>
        </w:rPr>
      </w:pPr>
      <w:r w:rsidRPr="00173889">
        <w:rPr>
          <w:b/>
          <w:color w:val="365F91" w:themeColor="accent1" w:themeShade="BF"/>
          <w:sz w:val="32"/>
          <w:szCs w:val="32"/>
        </w:rPr>
        <w:t xml:space="preserve">A joint Initiative of FAO, UNDP and UNEP </w:t>
      </w:r>
    </w:p>
    <w:p w:rsidR="00447F74" w:rsidRPr="00173889" w:rsidRDefault="00447F74" w:rsidP="00447F74">
      <w:pPr>
        <w:pStyle w:val="Title"/>
        <w:jc w:val="center"/>
        <w:rPr>
          <w:b/>
          <w:color w:val="365F91" w:themeColor="accent1" w:themeShade="BF"/>
          <w:sz w:val="16"/>
          <w:szCs w:val="16"/>
        </w:rPr>
      </w:pPr>
    </w:p>
    <w:p w:rsidR="00447F74" w:rsidRPr="00173889" w:rsidRDefault="00447F74" w:rsidP="00447F74">
      <w:pPr>
        <w:pStyle w:val="Title"/>
        <w:jc w:val="center"/>
        <w:rPr>
          <w:b/>
          <w:color w:val="365F91" w:themeColor="accent1" w:themeShade="BF"/>
          <w:sz w:val="24"/>
          <w:szCs w:val="24"/>
        </w:rPr>
      </w:pPr>
      <w:r w:rsidRPr="00173889">
        <w:rPr>
          <w:b/>
          <w:color w:val="365F91" w:themeColor="accent1" w:themeShade="BF"/>
          <w:sz w:val="24"/>
          <w:szCs w:val="24"/>
        </w:rPr>
        <w:t xml:space="preserve">Concept Note – </w:t>
      </w:r>
      <w:r w:rsidR="00B02E23">
        <w:rPr>
          <w:b/>
          <w:color w:val="365F91" w:themeColor="accent1" w:themeShade="BF"/>
          <w:sz w:val="24"/>
          <w:szCs w:val="24"/>
        </w:rPr>
        <w:t>4 September</w:t>
      </w:r>
      <w:r w:rsidRPr="00173889">
        <w:rPr>
          <w:b/>
          <w:color w:val="365F91" w:themeColor="accent1" w:themeShade="BF"/>
          <w:sz w:val="24"/>
          <w:szCs w:val="24"/>
        </w:rPr>
        <w:t xml:space="preserve"> 2012</w:t>
      </w:r>
    </w:p>
    <w:p w:rsidR="00447F74" w:rsidRPr="00573709" w:rsidRDefault="00447F74" w:rsidP="00447F74">
      <w:pPr>
        <w:pStyle w:val="Heading1"/>
      </w:pPr>
      <w:r w:rsidRPr="00573709">
        <w:t>Introduction</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447F74" w:rsidRPr="00573709" w:rsidRDefault="004C785D" w:rsidP="00447F74">
      <w:pPr>
        <w:autoSpaceDE w:val="0"/>
        <w:autoSpaceDN w:val="0"/>
        <w:adjustRightInd w:val="0"/>
        <w:spacing w:after="0" w:line="240" w:lineRule="auto"/>
        <w:jc w:val="both"/>
        <w:rPr>
          <w:rFonts w:asciiTheme="majorHAnsi" w:eastAsiaTheme="minorHAnsi" w:hAnsiTheme="majorHAnsi"/>
        </w:rPr>
      </w:pPr>
      <w:r>
        <w:rPr>
          <w:rFonts w:asciiTheme="majorHAnsi" w:eastAsiaTheme="minorHAnsi" w:hAnsiTheme="majorHAnsi"/>
        </w:rPr>
        <w:t>There is increased</w:t>
      </w:r>
      <w:r w:rsidR="00447F74">
        <w:rPr>
          <w:rFonts w:asciiTheme="majorHAnsi" w:eastAsiaTheme="minorHAnsi" w:hAnsiTheme="majorHAnsi"/>
        </w:rPr>
        <w:t xml:space="preserve"> recogni</w:t>
      </w:r>
      <w:r w:rsidR="00A90F81">
        <w:rPr>
          <w:rFonts w:asciiTheme="majorHAnsi" w:eastAsiaTheme="minorHAnsi" w:hAnsiTheme="majorHAnsi"/>
        </w:rPr>
        <w:t>tion</w:t>
      </w:r>
      <w:r w:rsidR="00447F74">
        <w:rPr>
          <w:rFonts w:asciiTheme="majorHAnsi" w:eastAsiaTheme="minorHAnsi" w:hAnsiTheme="majorHAnsi"/>
        </w:rPr>
        <w:t xml:space="preserve"> that s</w:t>
      </w:r>
      <w:r w:rsidR="004C5BA4">
        <w:rPr>
          <w:rFonts w:asciiTheme="majorHAnsi" w:eastAsiaTheme="minorHAnsi" w:hAnsiTheme="majorHAnsi"/>
        </w:rPr>
        <w:t xml:space="preserve">ocial and </w:t>
      </w:r>
      <w:bookmarkStart w:id="0" w:name="_GoBack"/>
      <w:bookmarkEnd w:id="0"/>
      <w:r w:rsidR="004C5BA4">
        <w:rPr>
          <w:rFonts w:asciiTheme="majorHAnsi" w:eastAsiaTheme="minorHAnsi" w:hAnsiTheme="majorHAnsi"/>
        </w:rPr>
        <w:t>environmental</w:t>
      </w:r>
      <w:r w:rsidR="00447F74" w:rsidRPr="009362E6">
        <w:rPr>
          <w:rFonts w:asciiTheme="majorHAnsi" w:eastAsiaTheme="minorHAnsi" w:hAnsiTheme="majorHAnsi"/>
        </w:rPr>
        <w:t xml:space="preserve"> policies and procedures</w:t>
      </w:r>
      <w:r w:rsidR="00447F74">
        <w:rPr>
          <w:rFonts w:asciiTheme="majorHAnsi" w:eastAsiaTheme="minorHAnsi" w:hAnsiTheme="majorHAnsi"/>
        </w:rPr>
        <w:t xml:space="preserve"> need to</w:t>
      </w:r>
      <w:r w:rsidR="00447F74" w:rsidRPr="009362E6">
        <w:rPr>
          <w:rFonts w:asciiTheme="majorHAnsi" w:eastAsiaTheme="minorHAnsi" w:hAnsiTheme="majorHAnsi"/>
        </w:rPr>
        <w:t xml:space="preserve"> </w:t>
      </w:r>
      <w:r w:rsidR="00447F74">
        <w:rPr>
          <w:rFonts w:asciiTheme="majorHAnsi" w:eastAsiaTheme="minorHAnsi" w:hAnsiTheme="majorHAnsi"/>
        </w:rPr>
        <w:t>underpin</w:t>
      </w:r>
      <w:r w:rsidR="00447F74" w:rsidRPr="009362E6">
        <w:rPr>
          <w:rFonts w:asciiTheme="majorHAnsi" w:eastAsiaTheme="minorHAnsi" w:hAnsiTheme="majorHAnsi"/>
        </w:rPr>
        <w:t xml:space="preserve"> the technical and financial support provided by United Nations agencies to achieve sustainable development.</w:t>
      </w:r>
      <w:r w:rsidR="00447F74" w:rsidRPr="00573709">
        <w:rPr>
          <w:rFonts w:asciiTheme="majorHAnsi" w:eastAsiaTheme="minorHAnsi" w:hAnsiTheme="majorHAnsi"/>
        </w:rPr>
        <w:t xml:space="preserve"> The objective of these policies and procedures is to prevent or mitigate undue harm to people and their environment and to enhance benefits in the development process. They are designed to avoid, mitigate, or minimize the adverse </w:t>
      </w:r>
      <w:r w:rsidR="00447F74">
        <w:rPr>
          <w:rFonts w:asciiTheme="majorHAnsi" w:eastAsiaTheme="minorHAnsi" w:hAnsiTheme="majorHAnsi"/>
        </w:rPr>
        <w:t xml:space="preserve">social and </w:t>
      </w:r>
      <w:r w:rsidR="00447F74" w:rsidRPr="00573709">
        <w:rPr>
          <w:rFonts w:asciiTheme="majorHAnsi" w:eastAsiaTheme="minorHAnsi" w:hAnsiTheme="majorHAnsi"/>
        </w:rPr>
        <w:t xml:space="preserve">environmental impacts of projects and strategies, and to implement projects and strategies that produce positive outcomes for people and the environment. Accountability mechanisms, with grievance and compliance </w:t>
      </w:r>
      <w:r w:rsidR="00447F74">
        <w:rPr>
          <w:rFonts w:asciiTheme="majorHAnsi" w:eastAsiaTheme="minorHAnsi" w:hAnsiTheme="majorHAnsi"/>
        </w:rPr>
        <w:t>function</w:t>
      </w:r>
      <w:r w:rsidR="00447F74" w:rsidRPr="00573709">
        <w:rPr>
          <w:rFonts w:asciiTheme="majorHAnsi" w:eastAsiaTheme="minorHAnsi" w:hAnsiTheme="majorHAnsi"/>
        </w:rPr>
        <w:t xml:space="preserve">s, complement such policies, to ensure </w:t>
      </w:r>
      <w:r w:rsidR="00447F74" w:rsidRPr="00573709">
        <w:rPr>
          <w:rFonts w:asciiTheme="majorHAnsi" w:hAnsiTheme="majorHAnsi"/>
        </w:rPr>
        <w:t>individuals and communities affected by project activities have access to appropriate procedures for hearing and resolving disputes.</w:t>
      </w:r>
    </w:p>
    <w:p w:rsidR="00447F74" w:rsidRDefault="00447F74" w:rsidP="00447F74">
      <w:pPr>
        <w:autoSpaceDE w:val="0"/>
        <w:autoSpaceDN w:val="0"/>
        <w:adjustRightInd w:val="0"/>
        <w:spacing w:after="0" w:line="240" w:lineRule="auto"/>
        <w:jc w:val="both"/>
        <w:rPr>
          <w:rFonts w:asciiTheme="majorHAnsi" w:eastAsiaTheme="minorHAnsi" w:hAnsiTheme="majorHAnsi"/>
        </w:rPr>
      </w:pP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r>
        <w:rPr>
          <w:rFonts w:asciiTheme="majorHAnsi" w:eastAsiaTheme="minorHAnsi" w:hAnsiTheme="majorHAnsi"/>
        </w:rPr>
        <w:t xml:space="preserve">The necessity of such </w:t>
      </w:r>
      <w:r w:rsidRPr="00573709">
        <w:rPr>
          <w:rFonts w:asciiTheme="majorHAnsi" w:eastAsiaTheme="minorHAnsi" w:hAnsiTheme="majorHAnsi"/>
        </w:rPr>
        <w:t xml:space="preserve">policies and associated accountability measures, for example in the context of climate finance, has led to new conditions on funding and new initiatives to address organizational gaps.  </w:t>
      </w:r>
      <w:r>
        <w:rPr>
          <w:rFonts w:asciiTheme="majorHAnsi" w:eastAsiaTheme="minorHAnsi" w:hAnsiTheme="majorHAnsi"/>
        </w:rPr>
        <w:t>The impetus</w:t>
      </w:r>
      <w:r w:rsidRPr="00573709">
        <w:rPr>
          <w:rFonts w:asciiTheme="majorHAnsi" w:eastAsiaTheme="minorHAnsi" w:hAnsiTheme="majorHAnsi"/>
        </w:rPr>
        <w:t xml:space="preserve"> come</w:t>
      </w:r>
      <w:r>
        <w:rPr>
          <w:rFonts w:asciiTheme="majorHAnsi" w:eastAsiaTheme="minorHAnsi" w:hAnsiTheme="majorHAnsi"/>
        </w:rPr>
        <w:t>s</w:t>
      </w:r>
      <w:r w:rsidRPr="00573709">
        <w:rPr>
          <w:rFonts w:asciiTheme="majorHAnsi" w:eastAsiaTheme="minorHAnsi" w:hAnsiTheme="majorHAnsi"/>
        </w:rPr>
        <w:t xml:space="preserve"> from </w:t>
      </w:r>
      <w:r>
        <w:rPr>
          <w:rFonts w:asciiTheme="majorHAnsi" w:eastAsiaTheme="minorHAnsi" w:hAnsiTheme="majorHAnsi"/>
        </w:rPr>
        <w:t>within</w:t>
      </w:r>
      <w:r w:rsidRPr="00573709">
        <w:rPr>
          <w:rFonts w:asciiTheme="majorHAnsi" w:eastAsiaTheme="minorHAnsi" w:hAnsiTheme="majorHAnsi"/>
        </w:rPr>
        <w:t xml:space="preserve"> the UN and from external expectations.</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r w:rsidRPr="00573709">
        <w:rPr>
          <w:rFonts w:asciiTheme="majorHAnsi" w:eastAsiaTheme="minorHAnsi" w:hAnsiTheme="majorHAnsi"/>
        </w:rPr>
        <w:t xml:space="preserve">This </w:t>
      </w:r>
      <w:r>
        <w:rPr>
          <w:rFonts w:asciiTheme="majorHAnsi" w:eastAsiaTheme="minorHAnsi" w:hAnsiTheme="majorHAnsi"/>
        </w:rPr>
        <w:t>concept note</w:t>
      </w:r>
      <w:r w:rsidRPr="00573709">
        <w:rPr>
          <w:rFonts w:asciiTheme="majorHAnsi" w:eastAsiaTheme="minorHAnsi" w:hAnsiTheme="majorHAnsi"/>
        </w:rPr>
        <w:t xml:space="preserve"> spells out the </w:t>
      </w:r>
      <w:r>
        <w:rPr>
          <w:rFonts w:asciiTheme="majorHAnsi" w:eastAsiaTheme="minorHAnsi" w:hAnsiTheme="majorHAnsi"/>
        </w:rPr>
        <w:t xml:space="preserve">expectations </w:t>
      </w:r>
      <w:r w:rsidRPr="00573709">
        <w:rPr>
          <w:rFonts w:asciiTheme="majorHAnsi" w:eastAsiaTheme="minorHAnsi" w:hAnsiTheme="majorHAnsi"/>
        </w:rPr>
        <w:t xml:space="preserve">that are currently </w:t>
      </w:r>
      <w:r>
        <w:rPr>
          <w:rFonts w:asciiTheme="majorHAnsi" w:eastAsiaTheme="minorHAnsi" w:hAnsiTheme="majorHAnsi"/>
        </w:rPr>
        <w:t>driving the</w:t>
      </w:r>
      <w:r w:rsidRPr="00573709">
        <w:rPr>
          <w:rFonts w:asciiTheme="majorHAnsi" w:eastAsiaTheme="minorHAnsi" w:hAnsiTheme="majorHAnsi"/>
        </w:rPr>
        <w:t xml:space="preserve"> develop</w:t>
      </w:r>
      <w:r>
        <w:rPr>
          <w:rFonts w:asciiTheme="majorHAnsi" w:eastAsiaTheme="minorHAnsi" w:hAnsiTheme="majorHAnsi"/>
        </w:rPr>
        <w:t>ment of social and</w:t>
      </w:r>
      <w:r w:rsidRPr="00573709">
        <w:rPr>
          <w:rFonts w:asciiTheme="majorHAnsi" w:eastAsiaTheme="minorHAnsi" w:hAnsiTheme="majorHAnsi"/>
        </w:rPr>
        <w:t xml:space="preserve"> environmental policies and </w:t>
      </w:r>
      <w:r>
        <w:rPr>
          <w:rFonts w:asciiTheme="majorHAnsi" w:eastAsiaTheme="minorHAnsi" w:hAnsiTheme="majorHAnsi"/>
        </w:rPr>
        <w:t>accountability</w:t>
      </w:r>
      <w:r w:rsidRPr="00573709">
        <w:rPr>
          <w:rFonts w:asciiTheme="majorHAnsi" w:eastAsiaTheme="minorHAnsi" w:hAnsiTheme="majorHAnsi"/>
        </w:rPr>
        <w:t xml:space="preserve"> processes, outlines how </w:t>
      </w:r>
      <w:r>
        <w:rPr>
          <w:rFonts w:asciiTheme="majorHAnsi" w:eastAsiaTheme="minorHAnsi" w:hAnsiTheme="majorHAnsi"/>
        </w:rPr>
        <w:t xml:space="preserve">FAO, UNDP and UNEP could </w:t>
      </w:r>
      <w:r w:rsidR="00B02E23">
        <w:rPr>
          <w:rFonts w:asciiTheme="majorHAnsi" w:eastAsiaTheme="minorHAnsi" w:hAnsiTheme="majorHAnsi"/>
        </w:rPr>
        <w:t xml:space="preserve">coordinate </w:t>
      </w:r>
      <w:r>
        <w:rPr>
          <w:rFonts w:asciiTheme="majorHAnsi" w:eastAsiaTheme="minorHAnsi" w:hAnsiTheme="majorHAnsi"/>
        </w:rPr>
        <w:t>their efforts to address these expectations</w:t>
      </w:r>
      <w:r w:rsidRPr="00573709">
        <w:rPr>
          <w:rFonts w:asciiTheme="majorHAnsi" w:eastAsiaTheme="minorHAnsi" w:hAnsiTheme="majorHAnsi"/>
        </w:rPr>
        <w:t>, and identifies some of the benefits of doing so</w:t>
      </w:r>
      <w:r w:rsidR="00F275AC">
        <w:rPr>
          <w:rFonts w:asciiTheme="majorHAnsi" w:eastAsiaTheme="minorHAnsi" w:hAnsiTheme="majorHAnsi"/>
        </w:rPr>
        <w:t xml:space="preserve">, taking in consideration the </w:t>
      </w:r>
      <w:r w:rsidR="00F448E1">
        <w:rPr>
          <w:rFonts w:asciiTheme="majorHAnsi" w:eastAsiaTheme="minorHAnsi" w:hAnsiTheme="majorHAnsi"/>
        </w:rPr>
        <w:t xml:space="preserve">agencies’ </w:t>
      </w:r>
      <w:r w:rsidR="00F275AC">
        <w:rPr>
          <w:rFonts w:asciiTheme="majorHAnsi" w:eastAsiaTheme="minorHAnsi" w:hAnsiTheme="majorHAnsi"/>
        </w:rPr>
        <w:t>mandates and nature of work</w:t>
      </w:r>
      <w:r w:rsidRPr="00573709">
        <w:rPr>
          <w:rFonts w:asciiTheme="majorHAnsi" w:eastAsiaTheme="minorHAnsi" w:hAnsiTheme="majorHAnsi"/>
        </w:rPr>
        <w:t xml:space="preserve">. </w:t>
      </w:r>
    </w:p>
    <w:p w:rsidR="00447F74" w:rsidRPr="00573709" w:rsidRDefault="00447F74" w:rsidP="00447F74">
      <w:pPr>
        <w:pStyle w:val="Heading1"/>
      </w:pPr>
      <w:r>
        <w:t>UN System Process</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r>
        <w:rPr>
          <w:rFonts w:asciiTheme="majorHAnsi" w:hAnsiTheme="majorHAnsi"/>
          <w:color w:val="141413"/>
        </w:rPr>
        <w:t xml:space="preserve">The senior officials of the </w:t>
      </w:r>
      <w:r w:rsidRPr="00573709">
        <w:rPr>
          <w:rFonts w:asciiTheme="majorHAnsi" w:hAnsiTheme="majorHAnsi"/>
          <w:b/>
          <w:color w:val="000000"/>
        </w:rPr>
        <w:t>UN Environmental Management Group (EMG)</w:t>
      </w:r>
      <w:r w:rsidRPr="00573709">
        <w:rPr>
          <w:rStyle w:val="FootnoteReference"/>
          <w:rFonts w:asciiTheme="majorHAnsi" w:hAnsiTheme="majorHAnsi"/>
          <w:color w:val="000000"/>
        </w:rPr>
        <w:footnoteReference w:id="1"/>
      </w:r>
      <w:r w:rsidRPr="004C5BA4">
        <w:rPr>
          <w:rFonts w:asciiTheme="majorHAnsi" w:hAnsiTheme="majorHAnsi"/>
          <w:color w:val="000000"/>
        </w:rPr>
        <w:t>,</w:t>
      </w:r>
      <w:r>
        <w:rPr>
          <w:rFonts w:asciiTheme="majorHAnsi" w:hAnsiTheme="majorHAnsi"/>
          <w:b/>
          <w:color w:val="000000"/>
        </w:rPr>
        <w:t xml:space="preserve"> </w:t>
      </w:r>
      <w:r w:rsidRPr="00605768">
        <w:rPr>
          <w:rFonts w:asciiTheme="majorHAnsi" w:hAnsiTheme="majorHAnsi"/>
          <w:color w:val="000000"/>
        </w:rPr>
        <w:t>(</w:t>
      </w:r>
      <w:r w:rsidRPr="00573709">
        <w:rPr>
          <w:rFonts w:asciiTheme="majorHAnsi" w:hAnsiTheme="majorHAnsi"/>
          <w:color w:val="141413"/>
        </w:rPr>
        <w:t xml:space="preserve">Executive Heads of UN Agencies, Funds and </w:t>
      </w:r>
      <w:proofErr w:type="spellStart"/>
      <w:r w:rsidRPr="00573709">
        <w:rPr>
          <w:rFonts w:asciiTheme="majorHAnsi" w:hAnsiTheme="majorHAnsi"/>
          <w:color w:val="141413"/>
        </w:rPr>
        <w:t>Programmes</w:t>
      </w:r>
      <w:proofErr w:type="spellEnd"/>
      <w:r>
        <w:rPr>
          <w:rFonts w:asciiTheme="majorHAnsi" w:hAnsiTheme="majorHAnsi"/>
          <w:color w:val="141413"/>
        </w:rPr>
        <w:t>)</w:t>
      </w:r>
      <w:r w:rsidRPr="00573709">
        <w:rPr>
          <w:rFonts w:asciiTheme="majorHAnsi" w:hAnsiTheme="majorHAnsi"/>
          <w:color w:val="000000"/>
        </w:rPr>
        <w:t>, including FAO, UNDP and UNEP</w:t>
      </w:r>
      <w:r>
        <w:rPr>
          <w:rFonts w:asciiTheme="majorHAnsi" w:hAnsiTheme="majorHAnsi"/>
          <w:color w:val="000000"/>
        </w:rPr>
        <w:t xml:space="preserve"> endorsed a </w:t>
      </w:r>
      <w:r w:rsidRPr="00573709">
        <w:rPr>
          <w:rFonts w:asciiTheme="majorHAnsi" w:hAnsiTheme="majorHAnsi"/>
          <w:b/>
          <w:bCs/>
          <w:i/>
        </w:rPr>
        <w:t>Framework for Advancing Environmental and Social Sustainability in the United Nations System</w:t>
      </w:r>
      <w:r w:rsidRPr="00573709">
        <w:rPr>
          <w:rFonts w:asciiTheme="majorHAnsi" w:hAnsiTheme="majorHAnsi"/>
          <w:color w:val="000000"/>
        </w:rPr>
        <w:t xml:space="preserve"> </w:t>
      </w:r>
      <w:r>
        <w:rPr>
          <w:rFonts w:asciiTheme="majorHAnsi" w:hAnsiTheme="majorHAnsi"/>
          <w:color w:val="000000"/>
        </w:rPr>
        <w:t xml:space="preserve">in 2011 </w:t>
      </w:r>
      <w:r w:rsidRPr="00573709">
        <w:rPr>
          <w:rFonts w:asciiTheme="majorHAnsi" w:hAnsiTheme="majorHAnsi"/>
          <w:color w:val="000000"/>
        </w:rPr>
        <w:t xml:space="preserve">as a </w:t>
      </w:r>
      <w:r w:rsidRPr="00573709">
        <w:rPr>
          <w:rFonts w:asciiTheme="majorHAnsi" w:eastAsiaTheme="minorHAnsi" w:hAnsiTheme="majorHAnsi"/>
        </w:rPr>
        <w:t>means of furthering sustainability performance by: 1) Strengthening environmental and social sustainability in the activities of their respective organizations; 2) Supporting the further development and implementation of a UN System-wide framework for environmental and social sustainability including environmental and social safeguards; 3) monitoring collective efforts; and, 4) reporting back to the Governing Bodies of their respective organizations on progress made, good practice and lessons learned.</w:t>
      </w:r>
    </w:p>
    <w:p w:rsidR="00447F74" w:rsidRPr="00573709" w:rsidRDefault="00447F74" w:rsidP="00447F74">
      <w:pPr>
        <w:pStyle w:val="Heading1"/>
      </w:pPr>
      <w:r>
        <w:lastRenderedPageBreak/>
        <w:t>Climate Finance and Other Processes</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r w:rsidRPr="00573709">
        <w:rPr>
          <w:rFonts w:asciiTheme="majorHAnsi" w:eastAsiaTheme="minorHAnsi" w:hAnsiTheme="majorHAnsi"/>
          <w:b/>
        </w:rPr>
        <w:t>The Global Environment Facility (GEF)</w:t>
      </w:r>
      <w:r w:rsidRPr="00573709">
        <w:rPr>
          <w:rFonts w:asciiTheme="majorHAnsi" w:eastAsiaTheme="minorHAnsi" w:hAnsiTheme="majorHAnsi"/>
        </w:rPr>
        <w:t xml:space="preserve"> requires Partner Agencies, including FAO, UNDP and UNEP, to meet minimum environmental and social standards and have grievance and compliance functions in place by 2014 to receive funds.  </w:t>
      </w:r>
    </w:p>
    <w:p w:rsidR="00447F74" w:rsidRPr="00573709" w:rsidRDefault="00447F74" w:rsidP="00447F74">
      <w:pPr>
        <w:autoSpaceDE w:val="0"/>
        <w:autoSpaceDN w:val="0"/>
        <w:adjustRightInd w:val="0"/>
        <w:spacing w:after="0" w:line="240" w:lineRule="auto"/>
        <w:jc w:val="both"/>
        <w:rPr>
          <w:rFonts w:asciiTheme="majorHAnsi" w:eastAsia="Times New Roman" w:hAnsiTheme="majorHAnsi"/>
        </w:rPr>
      </w:pP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r w:rsidRPr="00573709">
        <w:rPr>
          <w:rFonts w:asciiTheme="majorHAnsi" w:eastAsiaTheme="minorHAnsi" w:hAnsiTheme="majorHAnsi"/>
          <w:b/>
        </w:rPr>
        <w:t>The Forest Carbon Partnership Facility (FCPF),</w:t>
      </w:r>
      <w:r w:rsidR="004C5BA4">
        <w:rPr>
          <w:rFonts w:asciiTheme="majorHAnsi" w:eastAsiaTheme="minorHAnsi" w:hAnsiTheme="majorHAnsi"/>
        </w:rPr>
        <w:t xml:space="preserve"> hosted by the World Bank</w:t>
      </w:r>
      <w:r w:rsidRPr="00573709">
        <w:rPr>
          <w:rFonts w:asciiTheme="majorHAnsi" w:eastAsiaTheme="minorHAnsi" w:hAnsiTheme="majorHAnsi"/>
        </w:rPr>
        <w:t>, under the Common Approach to Environmental and Social Safeguards requires Delivery Partners, including FAO and UNDP, to meet minimum environmental and social standards and have grievance and compliance functions in place to receive funds (in 2012).</w:t>
      </w:r>
    </w:p>
    <w:p w:rsidR="00447F74" w:rsidRPr="00573709" w:rsidRDefault="00447F74" w:rsidP="00447F74">
      <w:pPr>
        <w:autoSpaceDE w:val="0"/>
        <w:autoSpaceDN w:val="0"/>
        <w:adjustRightInd w:val="0"/>
        <w:spacing w:after="0" w:line="240" w:lineRule="auto"/>
        <w:jc w:val="both"/>
        <w:rPr>
          <w:rFonts w:asciiTheme="majorHAnsi" w:hAnsiTheme="majorHAnsi"/>
          <w:color w:val="000000"/>
        </w:rPr>
      </w:pP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r w:rsidRPr="00573709">
        <w:rPr>
          <w:rFonts w:asciiTheme="majorHAnsi" w:eastAsiaTheme="minorHAnsi" w:hAnsiTheme="majorHAnsi"/>
        </w:rPr>
        <w:t xml:space="preserve">The </w:t>
      </w:r>
      <w:r w:rsidRPr="00573709">
        <w:rPr>
          <w:rFonts w:asciiTheme="majorHAnsi" w:eastAsiaTheme="minorHAnsi" w:hAnsiTheme="majorHAnsi"/>
          <w:b/>
        </w:rPr>
        <w:t>Board of the Green Climate Fund (GCF)</w:t>
      </w:r>
      <w:r w:rsidRPr="00573709">
        <w:rPr>
          <w:rFonts w:asciiTheme="majorHAnsi" w:eastAsiaTheme="minorHAnsi" w:hAnsiTheme="majorHAnsi"/>
        </w:rPr>
        <w:t xml:space="preserve"> will agree on and adopt best practice environmental and social safeguards, which shall be applied to all </w:t>
      </w:r>
      <w:proofErr w:type="spellStart"/>
      <w:r w:rsidRPr="00573709">
        <w:rPr>
          <w:rFonts w:asciiTheme="majorHAnsi" w:eastAsiaTheme="minorHAnsi" w:hAnsiTheme="majorHAnsi"/>
        </w:rPr>
        <w:t>programmes</w:t>
      </w:r>
      <w:proofErr w:type="spellEnd"/>
      <w:r w:rsidRPr="00573709">
        <w:rPr>
          <w:rFonts w:asciiTheme="majorHAnsi" w:eastAsiaTheme="minorHAnsi" w:hAnsiTheme="majorHAnsi"/>
        </w:rPr>
        <w:t xml:space="preserve"> and projects financed by the Fund. The Fund will also support the strengthening of capacity in recipient countries, where needed, to assist them in meeting the Fund’s environmental and social safeguards.</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447F74" w:rsidRPr="00694A6E" w:rsidRDefault="00447F74" w:rsidP="00447F74">
      <w:pPr>
        <w:autoSpaceDE w:val="0"/>
        <w:autoSpaceDN w:val="0"/>
        <w:adjustRightInd w:val="0"/>
        <w:spacing w:after="0" w:line="240" w:lineRule="auto"/>
        <w:jc w:val="both"/>
        <w:rPr>
          <w:rFonts w:asciiTheme="majorHAnsi" w:hAnsiTheme="majorHAnsi"/>
        </w:rPr>
      </w:pPr>
      <w:r w:rsidRPr="00694A6E">
        <w:rPr>
          <w:rFonts w:asciiTheme="majorHAnsi" w:eastAsiaTheme="minorHAnsi" w:hAnsiTheme="majorHAnsi"/>
        </w:rPr>
        <w:t>There is also strong demand from</w:t>
      </w:r>
      <w:r>
        <w:rPr>
          <w:rFonts w:asciiTheme="majorHAnsi" w:eastAsiaTheme="minorHAnsi" w:hAnsiTheme="majorHAnsi"/>
          <w:b/>
        </w:rPr>
        <w:t xml:space="preserve"> </w:t>
      </w:r>
      <w:r w:rsidR="00A54586">
        <w:rPr>
          <w:rFonts w:asciiTheme="majorHAnsi" w:eastAsiaTheme="minorHAnsi" w:hAnsiTheme="majorHAnsi"/>
          <w:b/>
        </w:rPr>
        <w:t xml:space="preserve">donors, </w:t>
      </w:r>
      <w:r>
        <w:rPr>
          <w:rFonts w:asciiTheme="majorHAnsi" w:eastAsiaTheme="minorHAnsi" w:hAnsiTheme="majorHAnsi"/>
          <w:b/>
        </w:rPr>
        <w:t>stakeholders and civil s</w:t>
      </w:r>
      <w:r w:rsidRPr="00694A6E">
        <w:rPr>
          <w:rFonts w:asciiTheme="majorHAnsi" w:eastAsiaTheme="minorHAnsi" w:hAnsiTheme="majorHAnsi"/>
          <w:b/>
        </w:rPr>
        <w:t>ociety</w:t>
      </w:r>
      <w:r>
        <w:rPr>
          <w:rFonts w:asciiTheme="majorHAnsi" w:eastAsiaTheme="minorHAnsi" w:hAnsiTheme="majorHAnsi"/>
          <w:b/>
        </w:rPr>
        <w:t xml:space="preserve"> </w:t>
      </w:r>
      <w:r>
        <w:rPr>
          <w:rFonts w:asciiTheme="majorHAnsi" w:eastAsiaTheme="minorHAnsi" w:hAnsiTheme="majorHAnsi"/>
        </w:rPr>
        <w:t>for UN agencies undertaking REDD+ activities to have safeguards and accountability measures in place, given the potential impacts on their constituencies.</w:t>
      </w:r>
    </w:p>
    <w:p w:rsidR="00447F74" w:rsidRPr="00573709" w:rsidRDefault="00447F74" w:rsidP="00447F74">
      <w:pPr>
        <w:pStyle w:val="Heading1"/>
      </w:pPr>
      <w:r w:rsidRPr="00573709">
        <w:t xml:space="preserve">Towards </w:t>
      </w:r>
      <w:r>
        <w:t xml:space="preserve">a </w:t>
      </w:r>
      <w:r w:rsidR="00B02E23">
        <w:t>Coordinated</w:t>
      </w:r>
      <w:r>
        <w:t xml:space="preserve"> Approach to Social and Environmental Sustainability and Accountability for FAO, UNDP and UNEP</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D210A3" w:rsidRDefault="00447F74" w:rsidP="00447F74">
      <w:pPr>
        <w:autoSpaceDE w:val="0"/>
        <w:autoSpaceDN w:val="0"/>
        <w:adjustRightInd w:val="0"/>
        <w:spacing w:after="0" w:line="240" w:lineRule="auto"/>
        <w:jc w:val="both"/>
        <w:rPr>
          <w:rFonts w:asciiTheme="majorHAnsi" w:eastAsiaTheme="minorHAnsi" w:hAnsiTheme="majorHAnsi"/>
        </w:rPr>
      </w:pPr>
      <w:r w:rsidRPr="004C5BA4">
        <w:rPr>
          <w:rFonts w:asciiTheme="majorHAnsi" w:eastAsiaTheme="minorHAnsi" w:hAnsiTheme="majorHAnsi"/>
        </w:rPr>
        <w:t xml:space="preserve">Given the structure </w:t>
      </w:r>
      <w:r w:rsidR="00D210A3">
        <w:rPr>
          <w:rFonts w:asciiTheme="majorHAnsi" w:eastAsiaTheme="minorHAnsi" w:hAnsiTheme="majorHAnsi"/>
        </w:rPr>
        <w:t xml:space="preserve">and legal nature of </w:t>
      </w:r>
      <w:r w:rsidRPr="004C5BA4">
        <w:rPr>
          <w:rFonts w:asciiTheme="majorHAnsi" w:eastAsiaTheme="minorHAnsi" w:hAnsiTheme="majorHAnsi"/>
        </w:rPr>
        <w:t>the UN system</w:t>
      </w:r>
      <w:r w:rsidR="00D210A3">
        <w:rPr>
          <w:rFonts w:asciiTheme="majorHAnsi" w:eastAsiaTheme="minorHAnsi" w:hAnsiTheme="majorHAnsi"/>
        </w:rPr>
        <w:t xml:space="preserve"> and its agencies</w:t>
      </w:r>
      <w:r w:rsidRPr="004C5BA4">
        <w:rPr>
          <w:rFonts w:asciiTheme="majorHAnsi" w:eastAsiaTheme="minorHAnsi" w:hAnsiTheme="majorHAnsi"/>
        </w:rPr>
        <w:t xml:space="preserve">, </w:t>
      </w:r>
      <w:r w:rsidR="00D210A3">
        <w:rPr>
          <w:rFonts w:asciiTheme="majorHAnsi" w:eastAsiaTheme="minorHAnsi" w:hAnsiTheme="majorHAnsi"/>
        </w:rPr>
        <w:t xml:space="preserve">a </w:t>
      </w:r>
      <w:r w:rsidR="00B02E23">
        <w:rPr>
          <w:rFonts w:asciiTheme="majorHAnsi" w:eastAsiaTheme="minorHAnsi" w:hAnsiTheme="majorHAnsi"/>
        </w:rPr>
        <w:t xml:space="preserve">coordinated </w:t>
      </w:r>
      <w:r w:rsidR="00D210A3">
        <w:rPr>
          <w:rFonts w:asciiTheme="majorHAnsi" w:eastAsiaTheme="minorHAnsi" w:hAnsiTheme="majorHAnsi"/>
        </w:rPr>
        <w:t xml:space="preserve">approach must build on each agency’s social and environmental policy, procedural and accountability framework.  </w:t>
      </w:r>
    </w:p>
    <w:p w:rsidR="00D210A3" w:rsidRDefault="00D210A3" w:rsidP="00447F74">
      <w:pPr>
        <w:autoSpaceDE w:val="0"/>
        <w:autoSpaceDN w:val="0"/>
        <w:adjustRightInd w:val="0"/>
        <w:spacing w:after="0" w:line="240" w:lineRule="auto"/>
        <w:jc w:val="both"/>
        <w:rPr>
          <w:rFonts w:asciiTheme="majorHAnsi" w:eastAsiaTheme="minorHAnsi" w:hAnsiTheme="majorHAnsi"/>
        </w:rPr>
      </w:pPr>
    </w:p>
    <w:p w:rsidR="00447F74" w:rsidRPr="00573709" w:rsidRDefault="00D210A3" w:rsidP="00447F74">
      <w:pPr>
        <w:autoSpaceDE w:val="0"/>
        <w:autoSpaceDN w:val="0"/>
        <w:adjustRightInd w:val="0"/>
        <w:spacing w:after="0" w:line="240" w:lineRule="auto"/>
        <w:jc w:val="both"/>
        <w:rPr>
          <w:rFonts w:asciiTheme="majorHAnsi" w:eastAsiaTheme="minorHAnsi" w:hAnsiTheme="majorHAnsi"/>
        </w:rPr>
      </w:pPr>
      <w:r>
        <w:rPr>
          <w:rFonts w:asciiTheme="majorHAnsi" w:eastAsiaTheme="minorHAnsi" w:hAnsiTheme="majorHAnsi"/>
        </w:rPr>
        <w:t>In accordance with this, i</w:t>
      </w:r>
      <w:r w:rsidR="00447F74" w:rsidRPr="004C5BA4">
        <w:rPr>
          <w:rFonts w:asciiTheme="majorHAnsi" w:eastAsiaTheme="minorHAnsi" w:hAnsiTheme="majorHAnsi"/>
        </w:rPr>
        <w:t xml:space="preserve">nitial steps for developing </w:t>
      </w:r>
      <w:r w:rsidR="00B02E23">
        <w:rPr>
          <w:rFonts w:asciiTheme="majorHAnsi" w:eastAsiaTheme="minorHAnsi" w:hAnsiTheme="majorHAnsi"/>
        </w:rPr>
        <w:t>coordinated</w:t>
      </w:r>
      <w:r w:rsidR="00B02E23" w:rsidRPr="004C5BA4">
        <w:rPr>
          <w:rFonts w:asciiTheme="majorHAnsi" w:eastAsiaTheme="minorHAnsi" w:hAnsiTheme="majorHAnsi"/>
        </w:rPr>
        <w:t xml:space="preserve"> </w:t>
      </w:r>
      <w:r w:rsidR="00447F74" w:rsidRPr="004C5BA4">
        <w:rPr>
          <w:rFonts w:asciiTheme="majorHAnsi" w:eastAsiaTheme="minorHAnsi" w:hAnsiTheme="majorHAnsi"/>
        </w:rPr>
        <w:t>standards and an accountability framework are outlined below:</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447F74" w:rsidRPr="00573709" w:rsidRDefault="00447F74" w:rsidP="00447F74">
      <w:pPr>
        <w:pStyle w:val="ListParagraph"/>
        <w:numPr>
          <w:ilvl w:val="0"/>
          <w:numId w:val="4"/>
        </w:numPr>
        <w:autoSpaceDE w:val="0"/>
        <w:autoSpaceDN w:val="0"/>
        <w:adjustRightInd w:val="0"/>
        <w:spacing w:after="0" w:line="240" w:lineRule="auto"/>
        <w:jc w:val="both"/>
        <w:rPr>
          <w:rFonts w:asciiTheme="majorHAnsi" w:eastAsiaTheme="minorHAnsi" w:hAnsiTheme="majorHAnsi"/>
        </w:rPr>
      </w:pPr>
      <w:r w:rsidRPr="00573709">
        <w:rPr>
          <w:rFonts w:asciiTheme="majorHAnsi" w:eastAsiaTheme="minorHAnsi" w:hAnsiTheme="majorHAnsi"/>
        </w:rPr>
        <w:t xml:space="preserve">Review </w:t>
      </w:r>
      <w:r>
        <w:rPr>
          <w:rFonts w:asciiTheme="majorHAnsi" w:eastAsiaTheme="minorHAnsi" w:hAnsiTheme="majorHAnsi"/>
        </w:rPr>
        <w:t>agencies’</w:t>
      </w:r>
      <w:r w:rsidRPr="00573709">
        <w:rPr>
          <w:rFonts w:asciiTheme="majorHAnsi" w:eastAsiaTheme="minorHAnsi" w:hAnsiTheme="majorHAnsi"/>
        </w:rPr>
        <w:t xml:space="preserve"> social and environmental policies and procedures</w:t>
      </w:r>
      <w:r w:rsidR="006E721F">
        <w:rPr>
          <w:rFonts w:asciiTheme="majorHAnsi" w:eastAsiaTheme="minorHAnsi" w:hAnsiTheme="majorHAnsi"/>
        </w:rPr>
        <w:t xml:space="preserve"> and compliance review and grievance redress functions</w:t>
      </w:r>
      <w:r w:rsidRPr="00573709">
        <w:rPr>
          <w:rFonts w:asciiTheme="majorHAnsi" w:eastAsiaTheme="minorHAnsi" w:hAnsiTheme="majorHAnsi"/>
        </w:rPr>
        <w:t xml:space="preserve"> </w:t>
      </w:r>
      <w:r w:rsidRPr="009449AA">
        <w:rPr>
          <w:rFonts w:asciiTheme="majorHAnsi" w:eastAsiaTheme="minorHAnsi" w:hAnsiTheme="majorHAnsi"/>
        </w:rPr>
        <w:t xml:space="preserve">against </w:t>
      </w:r>
      <w:r>
        <w:rPr>
          <w:rFonts w:asciiTheme="majorHAnsi" w:eastAsiaTheme="minorHAnsi" w:hAnsiTheme="majorHAnsi"/>
        </w:rPr>
        <w:t xml:space="preserve">common requirement ‘benchmarks’, for example those of GEF and FCPF and the emerging GCF.  </w:t>
      </w:r>
      <w:r w:rsidRPr="009449AA">
        <w:rPr>
          <w:rFonts w:asciiTheme="majorHAnsi" w:eastAsiaTheme="minorHAnsi" w:hAnsiTheme="majorHAnsi"/>
        </w:rPr>
        <w:t xml:space="preserve">Such a review could build on existing comparisons, for example those undertaken by FAO and UNDP to demonstrate equivalence with </w:t>
      </w:r>
      <w:r>
        <w:rPr>
          <w:rFonts w:asciiTheme="majorHAnsi" w:eastAsiaTheme="minorHAnsi" w:hAnsiTheme="majorHAnsi"/>
        </w:rPr>
        <w:t xml:space="preserve">the </w:t>
      </w:r>
      <w:r w:rsidRPr="009449AA">
        <w:rPr>
          <w:rFonts w:asciiTheme="majorHAnsi" w:eastAsiaTheme="minorHAnsi" w:hAnsiTheme="majorHAnsi"/>
        </w:rPr>
        <w:t xml:space="preserve">World Bank safeguards and accountability mechanism under the </w:t>
      </w:r>
      <w:r>
        <w:rPr>
          <w:rFonts w:asciiTheme="majorHAnsi" w:eastAsiaTheme="minorHAnsi" w:hAnsiTheme="majorHAnsi"/>
        </w:rPr>
        <w:t xml:space="preserve">FCPF </w:t>
      </w:r>
      <w:r w:rsidRPr="009449AA">
        <w:rPr>
          <w:rFonts w:asciiTheme="majorHAnsi" w:eastAsiaTheme="minorHAnsi" w:hAnsiTheme="majorHAnsi"/>
        </w:rPr>
        <w:t>Common Approach.</w:t>
      </w:r>
      <w:r>
        <w:rPr>
          <w:rFonts w:asciiTheme="majorHAnsi" w:eastAsiaTheme="minorHAnsi" w:hAnsiTheme="majorHAnsi"/>
        </w:rPr>
        <w:t xml:space="preserve">  </w:t>
      </w:r>
    </w:p>
    <w:p w:rsidR="00447F74" w:rsidRDefault="00447F74" w:rsidP="00447F74">
      <w:pPr>
        <w:pStyle w:val="ListParagraph"/>
        <w:autoSpaceDE w:val="0"/>
        <w:autoSpaceDN w:val="0"/>
        <w:adjustRightInd w:val="0"/>
        <w:spacing w:after="0" w:line="240" w:lineRule="auto"/>
        <w:ind w:left="1440"/>
        <w:jc w:val="both"/>
        <w:rPr>
          <w:rFonts w:asciiTheme="majorHAnsi" w:eastAsiaTheme="minorHAnsi" w:hAnsiTheme="majorHAnsi"/>
        </w:rPr>
      </w:pPr>
    </w:p>
    <w:p w:rsidR="00447F74" w:rsidRDefault="00447F74" w:rsidP="00447F74">
      <w:pPr>
        <w:pStyle w:val="ListParagraph"/>
        <w:numPr>
          <w:ilvl w:val="0"/>
          <w:numId w:val="4"/>
        </w:numPr>
        <w:autoSpaceDE w:val="0"/>
        <w:autoSpaceDN w:val="0"/>
        <w:adjustRightInd w:val="0"/>
        <w:spacing w:after="0" w:line="240" w:lineRule="auto"/>
        <w:jc w:val="both"/>
        <w:rPr>
          <w:rFonts w:asciiTheme="majorHAnsi" w:eastAsiaTheme="minorHAnsi" w:hAnsiTheme="majorHAnsi"/>
        </w:rPr>
      </w:pPr>
      <w:r w:rsidRPr="00605768">
        <w:rPr>
          <w:rFonts w:asciiTheme="majorHAnsi" w:eastAsiaTheme="minorHAnsi" w:hAnsiTheme="majorHAnsi"/>
        </w:rPr>
        <w:t xml:space="preserve">Determine </w:t>
      </w:r>
      <w:r w:rsidR="006E721F">
        <w:rPr>
          <w:rFonts w:asciiTheme="majorHAnsi" w:eastAsiaTheme="minorHAnsi" w:hAnsiTheme="majorHAnsi"/>
        </w:rPr>
        <w:t>agencies’ policy,</w:t>
      </w:r>
      <w:r>
        <w:rPr>
          <w:rFonts w:asciiTheme="majorHAnsi" w:eastAsiaTheme="minorHAnsi" w:hAnsiTheme="majorHAnsi"/>
        </w:rPr>
        <w:t xml:space="preserve"> </w:t>
      </w:r>
      <w:r w:rsidRPr="00605768">
        <w:rPr>
          <w:rFonts w:asciiTheme="majorHAnsi" w:eastAsiaTheme="minorHAnsi" w:hAnsiTheme="majorHAnsi"/>
        </w:rPr>
        <w:t xml:space="preserve">procedural </w:t>
      </w:r>
      <w:r w:rsidR="006E721F">
        <w:rPr>
          <w:rFonts w:asciiTheme="majorHAnsi" w:eastAsiaTheme="minorHAnsi" w:hAnsiTheme="majorHAnsi"/>
        </w:rPr>
        <w:t xml:space="preserve">and accountability </w:t>
      </w:r>
      <w:r w:rsidRPr="00605768">
        <w:rPr>
          <w:rFonts w:asciiTheme="majorHAnsi" w:eastAsiaTheme="minorHAnsi" w:hAnsiTheme="majorHAnsi"/>
        </w:rPr>
        <w:t>gap</w:t>
      </w:r>
      <w:r>
        <w:rPr>
          <w:rFonts w:asciiTheme="majorHAnsi" w:eastAsiaTheme="minorHAnsi" w:hAnsiTheme="majorHAnsi"/>
        </w:rPr>
        <w:t>s and a</w:t>
      </w:r>
      <w:r w:rsidRPr="00605768">
        <w:rPr>
          <w:rFonts w:asciiTheme="majorHAnsi" w:eastAsiaTheme="minorHAnsi" w:hAnsiTheme="majorHAnsi"/>
        </w:rPr>
        <w:t xml:space="preserve">ssess opportunities for </w:t>
      </w:r>
      <w:r w:rsidR="00B02E23">
        <w:rPr>
          <w:rFonts w:asciiTheme="majorHAnsi" w:eastAsiaTheme="minorHAnsi" w:hAnsiTheme="majorHAnsi"/>
        </w:rPr>
        <w:t>coordinating</w:t>
      </w:r>
      <w:r w:rsidR="00B02E23" w:rsidRPr="00605768">
        <w:rPr>
          <w:rFonts w:asciiTheme="majorHAnsi" w:eastAsiaTheme="minorHAnsi" w:hAnsiTheme="majorHAnsi"/>
        </w:rPr>
        <w:t xml:space="preserve"> </w:t>
      </w:r>
      <w:r w:rsidRPr="00605768">
        <w:rPr>
          <w:rFonts w:asciiTheme="majorHAnsi" w:eastAsiaTheme="minorHAnsi" w:hAnsiTheme="majorHAnsi"/>
        </w:rPr>
        <w:t>approaches to addressing</w:t>
      </w:r>
      <w:r>
        <w:rPr>
          <w:rFonts w:asciiTheme="majorHAnsi" w:eastAsiaTheme="minorHAnsi" w:hAnsiTheme="majorHAnsi"/>
        </w:rPr>
        <w:t xml:space="preserve"> these</w:t>
      </w:r>
      <w:r w:rsidRPr="00605768">
        <w:rPr>
          <w:rFonts w:asciiTheme="majorHAnsi" w:eastAsiaTheme="minorHAnsi" w:hAnsiTheme="majorHAnsi"/>
        </w:rPr>
        <w:t xml:space="preserve"> gaps, by for example applying existing approaches </w:t>
      </w:r>
      <w:r>
        <w:rPr>
          <w:rFonts w:asciiTheme="majorHAnsi" w:eastAsiaTheme="minorHAnsi" w:hAnsiTheme="majorHAnsi"/>
        </w:rPr>
        <w:t>b</w:t>
      </w:r>
      <w:r w:rsidRPr="00605768">
        <w:rPr>
          <w:rFonts w:asciiTheme="majorHAnsi" w:eastAsiaTheme="minorHAnsi" w:hAnsiTheme="majorHAnsi"/>
        </w:rPr>
        <w:t xml:space="preserve">ased on comparative advantages, including for example UNEP’s leadership in setting normative standards for the UN System, FAO’s </w:t>
      </w:r>
      <w:r w:rsidR="00D812DA">
        <w:rPr>
          <w:rFonts w:asciiTheme="majorHAnsi" w:eastAsiaTheme="minorHAnsi" w:hAnsiTheme="majorHAnsi"/>
        </w:rPr>
        <w:t xml:space="preserve">Environmental Impact Assessment (EIA) </w:t>
      </w:r>
      <w:r w:rsidRPr="00605768">
        <w:rPr>
          <w:rFonts w:asciiTheme="majorHAnsi" w:eastAsiaTheme="minorHAnsi" w:hAnsiTheme="majorHAnsi"/>
        </w:rPr>
        <w:t>and UNDP’s efforts to</w:t>
      </w:r>
      <w:r w:rsidR="00D210A3">
        <w:rPr>
          <w:rFonts w:asciiTheme="majorHAnsi" w:eastAsiaTheme="minorHAnsi" w:hAnsiTheme="majorHAnsi"/>
        </w:rPr>
        <w:t xml:space="preserve"> build Country Office capacity</w:t>
      </w:r>
      <w:r w:rsidRPr="00605768">
        <w:rPr>
          <w:rFonts w:asciiTheme="majorHAnsi" w:eastAsiaTheme="minorHAnsi" w:hAnsiTheme="majorHAnsi"/>
        </w:rPr>
        <w:t xml:space="preserve"> to address grievances.</w:t>
      </w:r>
    </w:p>
    <w:p w:rsidR="00447F74" w:rsidRPr="004F5B9F" w:rsidRDefault="00447F74" w:rsidP="00447F74">
      <w:pPr>
        <w:pStyle w:val="ListParagraph"/>
        <w:rPr>
          <w:rFonts w:asciiTheme="majorHAnsi" w:eastAsiaTheme="minorHAnsi" w:hAnsiTheme="majorHAnsi"/>
        </w:rPr>
      </w:pPr>
    </w:p>
    <w:p w:rsidR="00447F74" w:rsidRPr="004F5B9F" w:rsidRDefault="00447F74" w:rsidP="00447F74">
      <w:pPr>
        <w:pStyle w:val="ListParagraph"/>
        <w:numPr>
          <w:ilvl w:val="0"/>
          <w:numId w:val="4"/>
        </w:numPr>
        <w:autoSpaceDE w:val="0"/>
        <w:autoSpaceDN w:val="0"/>
        <w:adjustRightInd w:val="0"/>
        <w:spacing w:after="0" w:line="240" w:lineRule="auto"/>
        <w:jc w:val="both"/>
        <w:rPr>
          <w:rFonts w:asciiTheme="majorHAnsi" w:eastAsiaTheme="minorHAnsi" w:hAnsiTheme="majorHAnsi"/>
        </w:rPr>
      </w:pPr>
      <w:r w:rsidRPr="004F5B9F">
        <w:rPr>
          <w:rFonts w:asciiTheme="majorHAnsi" w:eastAsiaTheme="minorHAnsi" w:hAnsiTheme="majorHAnsi"/>
        </w:rPr>
        <w:t xml:space="preserve">Following the internal revision and updating of agencies’ </w:t>
      </w:r>
      <w:r w:rsidR="006E721F">
        <w:rPr>
          <w:rFonts w:asciiTheme="majorHAnsi" w:eastAsiaTheme="minorHAnsi" w:hAnsiTheme="majorHAnsi"/>
        </w:rPr>
        <w:t xml:space="preserve">policies, </w:t>
      </w:r>
      <w:r>
        <w:rPr>
          <w:rFonts w:asciiTheme="majorHAnsi" w:eastAsiaTheme="minorHAnsi" w:hAnsiTheme="majorHAnsi"/>
        </w:rPr>
        <w:t>procedures</w:t>
      </w:r>
      <w:r w:rsidR="006E721F">
        <w:rPr>
          <w:rFonts w:asciiTheme="majorHAnsi" w:eastAsiaTheme="minorHAnsi" w:hAnsiTheme="majorHAnsi"/>
        </w:rPr>
        <w:t xml:space="preserve"> and accountability functions</w:t>
      </w:r>
      <w:r w:rsidRPr="004F5B9F">
        <w:rPr>
          <w:rFonts w:asciiTheme="majorHAnsi" w:eastAsiaTheme="minorHAnsi" w:hAnsiTheme="majorHAnsi"/>
        </w:rPr>
        <w:t xml:space="preserve">, </w:t>
      </w:r>
      <w:r>
        <w:rPr>
          <w:rFonts w:asciiTheme="majorHAnsi" w:eastAsiaTheme="minorHAnsi" w:hAnsiTheme="majorHAnsi"/>
        </w:rPr>
        <w:t>articulate</w:t>
      </w:r>
      <w:r w:rsidRPr="004F5B9F">
        <w:rPr>
          <w:rFonts w:asciiTheme="majorHAnsi" w:eastAsiaTheme="minorHAnsi" w:hAnsiTheme="majorHAnsi"/>
        </w:rPr>
        <w:t xml:space="preserve"> a </w:t>
      </w:r>
      <w:r w:rsidR="00B02E23">
        <w:rPr>
          <w:rFonts w:asciiTheme="majorHAnsi" w:eastAsiaTheme="minorHAnsi" w:hAnsiTheme="majorHAnsi"/>
        </w:rPr>
        <w:t>coordinated</w:t>
      </w:r>
      <w:r w:rsidR="00B02E23" w:rsidRPr="004F5B9F">
        <w:rPr>
          <w:rFonts w:asciiTheme="majorHAnsi" w:eastAsiaTheme="minorHAnsi" w:hAnsiTheme="majorHAnsi"/>
        </w:rPr>
        <w:t xml:space="preserve"> </w:t>
      </w:r>
      <w:r w:rsidR="00D210A3">
        <w:rPr>
          <w:rFonts w:asciiTheme="majorHAnsi" w:eastAsiaTheme="minorHAnsi" w:hAnsiTheme="majorHAnsi"/>
        </w:rPr>
        <w:t xml:space="preserve">social and environmental policy </w:t>
      </w:r>
      <w:r w:rsidR="006E721F">
        <w:rPr>
          <w:rFonts w:asciiTheme="majorHAnsi" w:eastAsiaTheme="minorHAnsi" w:hAnsiTheme="majorHAnsi"/>
        </w:rPr>
        <w:t>and accountability</w:t>
      </w:r>
      <w:r>
        <w:rPr>
          <w:rFonts w:asciiTheme="majorHAnsi" w:eastAsiaTheme="minorHAnsi" w:hAnsiTheme="majorHAnsi"/>
        </w:rPr>
        <w:t xml:space="preserve"> framework </w:t>
      </w:r>
      <w:r w:rsidRPr="004F5B9F">
        <w:rPr>
          <w:rFonts w:asciiTheme="majorHAnsi" w:eastAsiaTheme="minorHAnsi" w:hAnsiTheme="majorHAnsi"/>
        </w:rPr>
        <w:t xml:space="preserve">that could be applied in the context of joint </w:t>
      </w:r>
      <w:proofErr w:type="spellStart"/>
      <w:r w:rsidRPr="004F5B9F">
        <w:rPr>
          <w:rFonts w:asciiTheme="majorHAnsi" w:eastAsiaTheme="minorHAnsi" w:hAnsiTheme="majorHAnsi"/>
        </w:rPr>
        <w:t>programmes</w:t>
      </w:r>
      <w:proofErr w:type="spellEnd"/>
      <w:r w:rsidR="00AB17C5">
        <w:rPr>
          <w:rFonts w:asciiTheme="majorHAnsi" w:eastAsiaTheme="minorHAnsi" w:hAnsiTheme="majorHAnsi"/>
        </w:rPr>
        <w:t xml:space="preserve"> (at global and national levels)</w:t>
      </w:r>
      <w:r w:rsidRPr="004F5B9F">
        <w:rPr>
          <w:rFonts w:asciiTheme="majorHAnsi" w:eastAsiaTheme="minorHAnsi" w:hAnsiTheme="majorHAnsi"/>
        </w:rPr>
        <w:t xml:space="preserve">.  </w:t>
      </w:r>
    </w:p>
    <w:p w:rsidR="00447F74" w:rsidRDefault="00447F74" w:rsidP="00447F74">
      <w:pPr>
        <w:pStyle w:val="Heading1"/>
      </w:pPr>
      <w:r w:rsidRPr="00A561A6">
        <w:lastRenderedPageBreak/>
        <w:t xml:space="preserve">Benefits of </w:t>
      </w:r>
      <w:r>
        <w:t xml:space="preserve">a </w:t>
      </w:r>
      <w:r w:rsidR="00B02E23">
        <w:t xml:space="preserve">Coordinated </w:t>
      </w:r>
      <w:r>
        <w:t xml:space="preserve">Approach to Social and Environmental Sustainability and Accountability </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87771A" w:rsidRDefault="00447F74" w:rsidP="00447F74">
      <w:pPr>
        <w:autoSpaceDE w:val="0"/>
        <w:autoSpaceDN w:val="0"/>
        <w:adjustRightInd w:val="0"/>
        <w:spacing w:after="0" w:line="240" w:lineRule="auto"/>
        <w:jc w:val="both"/>
        <w:rPr>
          <w:rFonts w:asciiTheme="majorHAnsi" w:eastAsiaTheme="minorHAnsi" w:hAnsiTheme="majorHAnsi"/>
        </w:rPr>
      </w:pPr>
      <w:r w:rsidRPr="00573709">
        <w:rPr>
          <w:rFonts w:asciiTheme="majorHAnsi" w:eastAsiaTheme="minorHAnsi" w:hAnsiTheme="majorHAnsi"/>
        </w:rPr>
        <w:t>In addition to responding to t</w:t>
      </w:r>
      <w:r>
        <w:rPr>
          <w:rFonts w:asciiTheme="majorHAnsi" w:eastAsiaTheme="minorHAnsi" w:hAnsiTheme="majorHAnsi"/>
        </w:rPr>
        <w:t>he expectations outlined above</w:t>
      </w:r>
      <w:r w:rsidRPr="00573709">
        <w:rPr>
          <w:rFonts w:asciiTheme="majorHAnsi" w:eastAsiaTheme="minorHAnsi" w:hAnsiTheme="majorHAnsi"/>
        </w:rPr>
        <w:t xml:space="preserve">, there could be a number of benefits </w:t>
      </w:r>
      <w:r>
        <w:rPr>
          <w:rFonts w:asciiTheme="majorHAnsi" w:eastAsiaTheme="minorHAnsi" w:hAnsiTheme="majorHAnsi"/>
        </w:rPr>
        <w:t xml:space="preserve">to </w:t>
      </w:r>
      <w:r w:rsidRPr="00573709">
        <w:rPr>
          <w:rFonts w:asciiTheme="majorHAnsi" w:eastAsiaTheme="minorHAnsi" w:hAnsiTheme="majorHAnsi"/>
        </w:rPr>
        <w:t xml:space="preserve">developing a </w:t>
      </w:r>
      <w:r w:rsidR="00B02E23">
        <w:rPr>
          <w:rFonts w:asciiTheme="majorHAnsi" w:eastAsiaTheme="minorHAnsi" w:hAnsiTheme="majorHAnsi"/>
        </w:rPr>
        <w:t>coordinate</w:t>
      </w:r>
      <w:r w:rsidR="00B02E23" w:rsidRPr="00573709">
        <w:rPr>
          <w:rFonts w:asciiTheme="majorHAnsi" w:eastAsiaTheme="minorHAnsi" w:hAnsiTheme="majorHAnsi"/>
        </w:rPr>
        <w:t xml:space="preserve">d </w:t>
      </w:r>
      <w:r w:rsidRPr="00573709">
        <w:rPr>
          <w:rFonts w:asciiTheme="majorHAnsi" w:eastAsiaTheme="minorHAnsi" w:hAnsiTheme="majorHAnsi"/>
        </w:rPr>
        <w:t xml:space="preserve">approach. </w:t>
      </w:r>
    </w:p>
    <w:p w:rsidR="0087771A" w:rsidRDefault="0087771A" w:rsidP="00447F74">
      <w:pPr>
        <w:autoSpaceDE w:val="0"/>
        <w:autoSpaceDN w:val="0"/>
        <w:adjustRightInd w:val="0"/>
        <w:spacing w:after="0" w:line="240" w:lineRule="auto"/>
        <w:jc w:val="both"/>
        <w:rPr>
          <w:rFonts w:asciiTheme="majorHAnsi" w:eastAsiaTheme="minorHAnsi" w:hAnsiTheme="majorHAnsi"/>
        </w:rPr>
      </w:pPr>
    </w:p>
    <w:p w:rsidR="00A3648D" w:rsidRDefault="00E854B2" w:rsidP="00E854B2">
      <w:pPr>
        <w:autoSpaceDE w:val="0"/>
        <w:autoSpaceDN w:val="0"/>
        <w:adjustRightInd w:val="0"/>
        <w:spacing w:after="0" w:line="240" w:lineRule="auto"/>
        <w:jc w:val="both"/>
        <w:rPr>
          <w:rFonts w:asciiTheme="minorHAnsi" w:hAnsiTheme="minorHAnsi" w:cstheme="minorHAnsi"/>
          <w:color w:val="1F497D"/>
          <w:sz w:val="20"/>
          <w:szCs w:val="20"/>
        </w:rPr>
      </w:pPr>
      <w:r>
        <w:rPr>
          <w:rFonts w:asciiTheme="majorHAnsi" w:eastAsiaTheme="minorHAnsi" w:hAnsiTheme="majorHAnsi"/>
        </w:rPr>
        <w:t xml:space="preserve">First, </w:t>
      </w:r>
      <w:r w:rsidRPr="00573709">
        <w:rPr>
          <w:rFonts w:asciiTheme="majorHAnsi" w:eastAsiaTheme="minorHAnsi" w:hAnsiTheme="majorHAnsi"/>
        </w:rPr>
        <w:t xml:space="preserve">this approach could provide a model for </w:t>
      </w:r>
      <w:r w:rsidR="00B02E23">
        <w:rPr>
          <w:rFonts w:asciiTheme="majorHAnsi" w:eastAsiaTheme="minorHAnsi" w:hAnsiTheme="majorHAnsi"/>
        </w:rPr>
        <w:t>coordinating</w:t>
      </w:r>
      <w:r w:rsidR="00B02E23" w:rsidRPr="00573709">
        <w:rPr>
          <w:rFonts w:asciiTheme="majorHAnsi" w:eastAsiaTheme="minorHAnsi" w:hAnsiTheme="majorHAnsi"/>
        </w:rPr>
        <w:t xml:space="preserve"> </w:t>
      </w:r>
      <w:r w:rsidRPr="00573709">
        <w:rPr>
          <w:rFonts w:asciiTheme="majorHAnsi" w:eastAsiaTheme="minorHAnsi" w:hAnsiTheme="majorHAnsi"/>
        </w:rPr>
        <w:t>standards across the UN system and would serve as a joint contribution to the application of the Framework for Advancing the Environmental and Social Sustainability in the United</w:t>
      </w:r>
      <w:r>
        <w:rPr>
          <w:rFonts w:asciiTheme="majorHAnsi" w:eastAsiaTheme="minorHAnsi" w:hAnsiTheme="majorHAnsi"/>
        </w:rPr>
        <w:t xml:space="preserve"> Nations System (under the EMG). </w:t>
      </w:r>
      <w:r w:rsidR="00D56A32">
        <w:rPr>
          <w:rFonts w:asciiTheme="majorHAnsi" w:eastAsiaTheme="minorHAnsi" w:hAnsiTheme="majorHAnsi"/>
        </w:rPr>
        <w:t xml:space="preserve">This approach would also have the advantage of being tailored to the types of activities typically undertaken by UN agencies, as opposed to being based solely on the demands of external partners. </w:t>
      </w:r>
      <w:r w:rsidR="00A3648D" w:rsidRPr="00A3648D">
        <w:rPr>
          <w:rFonts w:asciiTheme="majorHAnsi" w:hAnsiTheme="majorHAnsi" w:cstheme="minorHAnsi"/>
        </w:rPr>
        <w:t xml:space="preserve">Joint programming such as through the UNREDD </w:t>
      </w:r>
      <w:proofErr w:type="spellStart"/>
      <w:r w:rsidR="00A3648D" w:rsidRPr="00A3648D">
        <w:rPr>
          <w:rFonts w:asciiTheme="majorHAnsi" w:hAnsiTheme="majorHAnsi" w:cstheme="minorHAnsi"/>
        </w:rPr>
        <w:t>Programme</w:t>
      </w:r>
      <w:proofErr w:type="spellEnd"/>
      <w:r w:rsidR="00A3648D" w:rsidRPr="00A3648D">
        <w:rPr>
          <w:rFonts w:asciiTheme="majorHAnsi" w:hAnsiTheme="majorHAnsi" w:cstheme="minorHAnsi"/>
        </w:rPr>
        <w:t xml:space="preserve"> could provide an opportunity to ‘pilot’ elements of the EMG framework as well as provide inputs into the process moving forward.</w:t>
      </w:r>
      <w:r w:rsidR="00A3648D" w:rsidRPr="00A3648D">
        <w:rPr>
          <w:rFonts w:asciiTheme="minorHAnsi" w:hAnsiTheme="minorHAnsi" w:cstheme="minorHAnsi"/>
          <w:sz w:val="20"/>
          <w:szCs w:val="20"/>
        </w:rPr>
        <w:t xml:space="preserve">  </w:t>
      </w:r>
    </w:p>
    <w:p w:rsidR="00E854B2" w:rsidRDefault="00E854B2" w:rsidP="0087771A">
      <w:pPr>
        <w:autoSpaceDE w:val="0"/>
        <w:autoSpaceDN w:val="0"/>
        <w:adjustRightInd w:val="0"/>
        <w:spacing w:after="0" w:line="240" w:lineRule="auto"/>
        <w:jc w:val="both"/>
        <w:rPr>
          <w:rFonts w:asciiTheme="majorHAnsi" w:eastAsiaTheme="minorHAnsi" w:hAnsiTheme="majorHAnsi"/>
        </w:rPr>
      </w:pPr>
    </w:p>
    <w:p w:rsidR="0087771A" w:rsidRPr="004C5BA4" w:rsidRDefault="00A3648D" w:rsidP="0087771A">
      <w:pPr>
        <w:autoSpaceDE w:val="0"/>
        <w:autoSpaceDN w:val="0"/>
        <w:adjustRightInd w:val="0"/>
        <w:spacing w:after="0" w:line="240" w:lineRule="auto"/>
        <w:jc w:val="both"/>
        <w:rPr>
          <w:rFonts w:asciiTheme="majorHAnsi" w:eastAsiaTheme="minorHAnsi" w:hAnsiTheme="majorHAnsi"/>
        </w:rPr>
      </w:pPr>
      <w:r>
        <w:rPr>
          <w:rFonts w:asciiTheme="majorHAnsi" w:eastAsiaTheme="minorHAnsi" w:hAnsiTheme="majorHAnsi"/>
        </w:rPr>
        <w:t xml:space="preserve">Second, this approach </w:t>
      </w:r>
      <w:r w:rsidR="00D56A32">
        <w:rPr>
          <w:rFonts w:asciiTheme="majorHAnsi" w:eastAsiaTheme="minorHAnsi" w:hAnsiTheme="majorHAnsi"/>
        </w:rPr>
        <w:t>w</w:t>
      </w:r>
      <w:r>
        <w:rPr>
          <w:rFonts w:asciiTheme="majorHAnsi" w:eastAsiaTheme="minorHAnsi" w:hAnsiTheme="majorHAnsi"/>
        </w:rPr>
        <w:t xml:space="preserve">ould </w:t>
      </w:r>
      <w:r w:rsidR="00870A93">
        <w:rPr>
          <w:rFonts w:asciiTheme="majorHAnsi" w:eastAsiaTheme="minorHAnsi" w:hAnsiTheme="majorHAnsi"/>
        </w:rPr>
        <w:t xml:space="preserve">provide the framework necessary to ensure the UN-REDD </w:t>
      </w:r>
      <w:proofErr w:type="spellStart"/>
      <w:r w:rsidR="00870A93">
        <w:rPr>
          <w:rFonts w:asciiTheme="majorHAnsi" w:eastAsiaTheme="minorHAnsi" w:hAnsiTheme="majorHAnsi"/>
        </w:rPr>
        <w:t>Programme</w:t>
      </w:r>
      <w:proofErr w:type="spellEnd"/>
      <w:r w:rsidR="00870A93">
        <w:rPr>
          <w:rFonts w:asciiTheme="majorHAnsi" w:eastAsiaTheme="minorHAnsi" w:hAnsiTheme="majorHAnsi"/>
        </w:rPr>
        <w:t xml:space="preserve"> </w:t>
      </w:r>
      <w:r w:rsidR="00C513D1">
        <w:rPr>
          <w:rFonts w:asciiTheme="majorHAnsi" w:eastAsiaTheme="minorHAnsi" w:hAnsiTheme="majorHAnsi"/>
        </w:rPr>
        <w:t>address</w:t>
      </w:r>
      <w:r w:rsidR="00082DE3">
        <w:rPr>
          <w:rFonts w:asciiTheme="majorHAnsi" w:eastAsiaTheme="minorHAnsi" w:hAnsiTheme="majorHAnsi"/>
        </w:rPr>
        <w:t>es</w:t>
      </w:r>
      <w:r w:rsidR="00C513D1">
        <w:rPr>
          <w:rFonts w:asciiTheme="majorHAnsi" w:eastAsiaTheme="minorHAnsi" w:hAnsiTheme="majorHAnsi"/>
        </w:rPr>
        <w:t xml:space="preserve"> </w:t>
      </w:r>
      <w:r w:rsidR="00C513D1" w:rsidRPr="004C5BA4">
        <w:rPr>
          <w:rFonts w:asciiTheme="majorHAnsi" w:eastAsiaTheme="minorHAnsi" w:hAnsiTheme="majorHAnsi"/>
        </w:rPr>
        <w:t xml:space="preserve">social and environmental issues </w:t>
      </w:r>
      <w:r w:rsidR="00C513D1">
        <w:rPr>
          <w:rFonts w:asciiTheme="majorHAnsi" w:eastAsiaTheme="minorHAnsi" w:hAnsiTheme="majorHAnsi"/>
        </w:rPr>
        <w:t xml:space="preserve">in </w:t>
      </w:r>
      <w:r w:rsidR="00082DE3">
        <w:rPr>
          <w:rFonts w:asciiTheme="majorHAnsi" w:eastAsiaTheme="minorHAnsi" w:hAnsiTheme="majorHAnsi"/>
        </w:rPr>
        <w:t>one coherent way across agencies.</w:t>
      </w:r>
      <w:r w:rsidR="00C513D1">
        <w:rPr>
          <w:rFonts w:asciiTheme="majorHAnsi" w:eastAsiaTheme="minorHAnsi" w:hAnsiTheme="majorHAnsi"/>
        </w:rPr>
        <w:t xml:space="preserve"> </w:t>
      </w:r>
      <w:r w:rsidR="0087771A" w:rsidRPr="00A3648D">
        <w:rPr>
          <w:rFonts w:asciiTheme="majorHAnsi" w:hAnsiTheme="majorHAnsi"/>
        </w:rPr>
        <w:t xml:space="preserve">The UN-REDD ‘social and environmental principles and criteria’ (SEPC) </w:t>
      </w:r>
      <w:r w:rsidR="00082DE3" w:rsidRPr="00A3648D">
        <w:rPr>
          <w:rFonts w:asciiTheme="majorHAnsi" w:hAnsiTheme="majorHAnsi"/>
        </w:rPr>
        <w:t xml:space="preserve">which </w:t>
      </w:r>
      <w:r w:rsidR="0087771A" w:rsidRPr="00A3648D">
        <w:rPr>
          <w:rFonts w:asciiTheme="majorHAnsi" w:hAnsiTheme="majorHAnsi"/>
        </w:rPr>
        <w:t>provide</w:t>
      </w:r>
      <w:r w:rsidR="00082DE3" w:rsidRPr="00A3648D">
        <w:rPr>
          <w:rFonts w:asciiTheme="majorHAnsi" w:hAnsiTheme="majorHAnsi"/>
        </w:rPr>
        <w:t>s</w:t>
      </w:r>
      <w:r w:rsidR="0087771A" w:rsidRPr="00A3648D">
        <w:rPr>
          <w:rFonts w:asciiTheme="majorHAnsi" w:hAnsiTheme="majorHAnsi"/>
        </w:rPr>
        <w:t xml:space="preserve"> a</w:t>
      </w:r>
      <w:r w:rsidR="00082DE3" w:rsidRPr="00A3648D">
        <w:rPr>
          <w:rFonts w:asciiTheme="majorHAnsi" w:hAnsiTheme="majorHAnsi"/>
        </w:rPr>
        <w:t xml:space="preserve"> guiding framework on social and environmental issues for the </w:t>
      </w:r>
      <w:proofErr w:type="spellStart"/>
      <w:r w:rsidR="00082DE3" w:rsidRPr="00A3648D">
        <w:rPr>
          <w:rFonts w:asciiTheme="majorHAnsi" w:hAnsiTheme="majorHAnsi"/>
        </w:rPr>
        <w:t>Programme</w:t>
      </w:r>
      <w:proofErr w:type="spellEnd"/>
      <w:r w:rsidR="0087771A" w:rsidRPr="00A3648D">
        <w:rPr>
          <w:rFonts w:asciiTheme="majorHAnsi" w:hAnsiTheme="majorHAnsi"/>
        </w:rPr>
        <w:t xml:space="preserve">, </w:t>
      </w:r>
      <w:r>
        <w:rPr>
          <w:rFonts w:asciiTheme="majorHAnsi" w:hAnsiTheme="majorHAnsi"/>
        </w:rPr>
        <w:t>c</w:t>
      </w:r>
      <w:r w:rsidR="00082DE3" w:rsidRPr="00A3648D">
        <w:rPr>
          <w:rFonts w:asciiTheme="majorHAnsi" w:hAnsiTheme="majorHAnsi"/>
        </w:rPr>
        <w:t>ould inform</w:t>
      </w:r>
      <w:r>
        <w:rPr>
          <w:rFonts w:asciiTheme="majorHAnsi" w:hAnsiTheme="majorHAnsi"/>
        </w:rPr>
        <w:t xml:space="preserve"> this initiative</w:t>
      </w:r>
      <w:r w:rsidR="00082DE3" w:rsidRPr="00A3648D">
        <w:rPr>
          <w:rFonts w:asciiTheme="majorHAnsi" w:hAnsiTheme="majorHAnsi"/>
        </w:rPr>
        <w:t>.</w:t>
      </w:r>
    </w:p>
    <w:p w:rsidR="0087771A" w:rsidRDefault="0087771A" w:rsidP="00447F74">
      <w:pPr>
        <w:autoSpaceDE w:val="0"/>
        <w:autoSpaceDN w:val="0"/>
        <w:adjustRightInd w:val="0"/>
        <w:spacing w:after="0" w:line="240" w:lineRule="auto"/>
        <w:jc w:val="both"/>
        <w:rPr>
          <w:rFonts w:asciiTheme="majorHAnsi" w:eastAsiaTheme="minorHAnsi" w:hAnsiTheme="majorHAnsi"/>
        </w:rPr>
      </w:pPr>
    </w:p>
    <w:p w:rsidR="00447F74" w:rsidRPr="00573709" w:rsidRDefault="00A3648D" w:rsidP="00447F74">
      <w:pPr>
        <w:autoSpaceDE w:val="0"/>
        <w:autoSpaceDN w:val="0"/>
        <w:adjustRightInd w:val="0"/>
        <w:spacing w:after="0" w:line="240" w:lineRule="auto"/>
        <w:jc w:val="both"/>
        <w:rPr>
          <w:rFonts w:asciiTheme="majorHAnsi" w:eastAsiaTheme="minorHAnsi" w:hAnsiTheme="majorHAnsi"/>
        </w:rPr>
      </w:pPr>
      <w:r>
        <w:rPr>
          <w:rFonts w:asciiTheme="majorHAnsi" w:eastAsiaTheme="minorHAnsi" w:hAnsiTheme="majorHAnsi"/>
        </w:rPr>
        <w:t>Third</w:t>
      </w:r>
      <w:r w:rsidR="0087771A">
        <w:rPr>
          <w:rFonts w:asciiTheme="majorHAnsi" w:eastAsiaTheme="minorHAnsi" w:hAnsiTheme="majorHAnsi"/>
        </w:rPr>
        <w:t>,</w:t>
      </w:r>
      <w:r w:rsidR="00447F74" w:rsidRPr="00573709">
        <w:rPr>
          <w:rFonts w:asciiTheme="majorHAnsi" w:eastAsiaTheme="minorHAnsi" w:hAnsiTheme="majorHAnsi"/>
        </w:rPr>
        <w:t xml:space="preserve"> a </w:t>
      </w:r>
      <w:r w:rsidR="00B02E23">
        <w:rPr>
          <w:rFonts w:asciiTheme="majorHAnsi" w:eastAsiaTheme="minorHAnsi" w:hAnsiTheme="majorHAnsi"/>
        </w:rPr>
        <w:t>coordinated</w:t>
      </w:r>
      <w:r w:rsidR="00B02E23" w:rsidRPr="00573709">
        <w:rPr>
          <w:rFonts w:asciiTheme="majorHAnsi" w:eastAsiaTheme="minorHAnsi" w:hAnsiTheme="majorHAnsi"/>
        </w:rPr>
        <w:t xml:space="preserve"> </w:t>
      </w:r>
      <w:r w:rsidR="00447F74" w:rsidRPr="00573709">
        <w:rPr>
          <w:rFonts w:asciiTheme="majorHAnsi" w:eastAsiaTheme="minorHAnsi" w:hAnsiTheme="majorHAnsi"/>
        </w:rPr>
        <w:t>approach could collectively demonstrate to par</w:t>
      </w:r>
      <w:r w:rsidR="00447F74">
        <w:rPr>
          <w:rFonts w:asciiTheme="majorHAnsi" w:eastAsiaTheme="minorHAnsi" w:hAnsiTheme="majorHAnsi"/>
        </w:rPr>
        <w:t>tners and stakeholders that FAO, UNDP and UNEP</w:t>
      </w:r>
      <w:r w:rsidR="00447F74" w:rsidRPr="00573709">
        <w:rPr>
          <w:rFonts w:asciiTheme="majorHAnsi" w:eastAsiaTheme="minorHAnsi" w:hAnsiTheme="majorHAnsi"/>
        </w:rPr>
        <w:t xml:space="preserve">, </w:t>
      </w:r>
      <w:r w:rsidR="0087771A">
        <w:rPr>
          <w:rFonts w:asciiTheme="majorHAnsi" w:eastAsiaTheme="minorHAnsi" w:hAnsiTheme="majorHAnsi"/>
        </w:rPr>
        <w:t>jointly</w:t>
      </w:r>
      <w:r w:rsidR="00447F74" w:rsidRPr="00573709">
        <w:rPr>
          <w:rFonts w:asciiTheme="majorHAnsi" w:eastAsiaTheme="minorHAnsi" w:hAnsiTheme="majorHAnsi"/>
        </w:rPr>
        <w:t>:</w:t>
      </w:r>
    </w:p>
    <w:p w:rsidR="00447F74" w:rsidRPr="00573709" w:rsidRDefault="00447F74" w:rsidP="00447F74">
      <w:pPr>
        <w:autoSpaceDE w:val="0"/>
        <w:autoSpaceDN w:val="0"/>
        <w:adjustRightInd w:val="0"/>
        <w:spacing w:after="0" w:line="240" w:lineRule="auto"/>
        <w:jc w:val="both"/>
        <w:rPr>
          <w:rFonts w:asciiTheme="majorHAnsi" w:eastAsiaTheme="minorHAnsi" w:hAnsiTheme="majorHAnsi"/>
        </w:rPr>
      </w:pPr>
    </w:p>
    <w:p w:rsidR="00C06506" w:rsidRPr="00573709" w:rsidRDefault="00C06506" w:rsidP="00C06506">
      <w:pPr>
        <w:pStyle w:val="NoSpacing"/>
        <w:numPr>
          <w:ilvl w:val="0"/>
          <w:numId w:val="3"/>
        </w:numPr>
        <w:jc w:val="both"/>
        <w:rPr>
          <w:rFonts w:asciiTheme="majorHAnsi" w:hAnsiTheme="majorHAnsi"/>
        </w:rPr>
      </w:pPr>
      <w:r w:rsidRPr="00573709">
        <w:rPr>
          <w:rFonts w:asciiTheme="majorHAnsi" w:hAnsiTheme="majorHAnsi"/>
        </w:rPr>
        <w:t xml:space="preserve">are well positioned to build the capacities of countries to </w:t>
      </w:r>
      <w:r>
        <w:rPr>
          <w:rFonts w:asciiTheme="majorHAnsi" w:hAnsiTheme="majorHAnsi"/>
        </w:rPr>
        <w:t xml:space="preserve">internalize </w:t>
      </w:r>
      <w:r w:rsidRPr="00573709">
        <w:rPr>
          <w:rFonts w:asciiTheme="majorHAnsi" w:hAnsiTheme="majorHAnsi"/>
        </w:rPr>
        <w:t>environmental and social standards</w:t>
      </w:r>
      <w:r>
        <w:rPr>
          <w:rFonts w:asciiTheme="majorHAnsi" w:hAnsiTheme="majorHAnsi"/>
        </w:rPr>
        <w:t>;</w:t>
      </w:r>
    </w:p>
    <w:p w:rsidR="00447F74" w:rsidRPr="00573709" w:rsidRDefault="00447F74" w:rsidP="00447F74">
      <w:pPr>
        <w:pStyle w:val="NoSpacing"/>
        <w:numPr>
          <w:ilvl w:val="0"/>
          <w:numId w:val="3"/>
        </w:numPr>
        <w:jc w:val="both"/>
        <w:rPr>
          <w:rFonts w:asciiTheme="majorHAnsi" w:hAnsiTheme="majorHAnsi"/>
        </w:rPr>
      </w:pPr>
      <w:r w:rsidRPr="00573709">
        <w:rPr>
          <w:rFonts w:asciiTheme="majorHAnsi" w:hAnsiTheme="majorHAnsi"/>
        </w:rPr>
        <w:t>have a credible, transparent, coherent and effective approach to social and environmental sustainability and accountability, built on international norms and best practice;</w:t>
      </w:r>
      <w:r w:rsidR="00C06506">
        <w:rPr>
          <w:rFonts w:asciiTheme="majorHAnsi" w:hAnsiTheme="majorHAnsi"/>
        </w:rPr>
        <w:t xml:space="preserve"> and</w:t>
      </w:r>
    </w:p>
    <w:p w:rsidR="00447F74" w:rsidRPr="00573709" w:rsidRDefault="00447F74" w:rsidP="00447F74">
      <w:pPr>
        <w:pStyle w:val="ColorfulList-Accent11"/>
        <w:numPr>
          <w:ilvl w:val="0"/>
          <w:numId w:val="3"/>
        </w:numPr>
        <w:spacing w:after="0"/>
        <w:rPr>
          <w:rFonts w:asciiTheme="majorHAnsi" w:hAnsiTheme="majorHAnsi" w:cs="Times New Roman"/>
          <w:b/>
          <w:bCs/>
          <w:sz w:val="22"/>
          <w:szCs w:val="22"/>
        </w:rPr>
      </w:pPr>
      <w:proofErr w:type="gramStart"/>
      <w:r w:rsidRPr="00573709">
        <w:rPr>
          <w:rFonts w:asciiTheme="majorHAnsi" w:hAnsiTheme="majorHAnsi" w:cs="Times New Roman"/>
          <w:sz w:val="22"/>
          <w:szCs w:val="22"/>
        </w:rPr>
        <w:t>are</w:t>
      </w:r>
      <w:proofErr w:type="gramEnd"/>
      <w:r w:rsidRPr="00573709">
        <w:rPr>
          <w:rFonts w:asciiTheme="majorHAnsi" w:hAnsiTheme="majorHAnsi" w:cs="Times New Roman"/>
          <w:sz w:val="22"/>
          <w:szCs w:val="22"/>
        </w:rPr>
        <w:t xml:space="preserve"> committed to responding to calls, for example in the </w:t>
      </w:r>
      <w:hyperlink r:id="rId8" w:history="1">
        <w:r w:rsidRPr="00573709">
          <w:rPr>
            <w:rStyle w:val="Hyperlink"/>
            <w:rFonts w:asciiTheme="majorHAnsi" w:hAnsiTheme="majorHAnsi" w:cs="Times New Roman"/>
            <w:sz w:val="22"/>
            <w:szCs w:val="22"/>
          </w:rPr>
          <w:t>Paris Declaration and Accra Agenda for Action</w:t>
        </w:r>
      </w:hyperlink>
      <w:r w:rsidRPr="00573709">
        <w:rPr>
          <w:rStyle w:val="Hyperlink"/>
          <w:rFonts w:asciiTheme="majorHAnsi" w:hAnsiTheme="majorHAnsi" w:cs="Times New Roman"/>
          <w:color w:val="auto"/>
          <w:sz w:val="22"/>
          <w:szCs w:val="22"/>
          <w:u w:val="none"/>
        </w:rPr>
        <w:t>,</w:t>
      </w:r>
      <w:r w:rsidRPr="00573709">
        <w:rPr>
          <w:rStyle w:val="Hyperlink"/>
          <w:rFonts w:asciiTheme="majorHAnsi" w:hAnsiTheme="majorHAnsi" w:cs="Times New Roman"/>
          <w:sz w:val="22"/>
          <w:szCs w:val="22"/>
          <w:u w:val="none"/>
        </w:rPr>
        <w:t xml:space="preserve"> </w:t>
      </w:r>
      <w:r w:rsidRPr="00573709">
        <w:rPr>
          <w:rFonts w:asciiTheme="majorHAnsi" w:hAnsiTheme="majorHAnsi" w:cs="Times New Roman"/>
          <w:sz w:val="22"/>
          <w:szCs w:val="22"/>
        </w:rPr>
        <w:t>to enhance transparency, accountability and har</w:t>
      </w:r>
      <w:r w:rsidR="00C06506">
        <w:rPr>
          <w:rFonts w:asciiTheme="majorHAnsi" w:hAnsiTheme="majorHAnsi" w:cs="Times New Roman"/>
          <w:sz w:val="22"/>
          <w:szCs w:val="22"/>
        </w:rPr>
        <w:t>monization across UN operation.</w:t>
      </w:r>
    </w:p>
    <w:p w:rsidR="00447F74" w:rsidRPr="00573709" w:rsidRDefault="00447F74" w:rsidP="00447F74">
      <w:pPr>
        <w:autoSpaceDE w:val="0"/>
        <w:autoSpaceDN w:val="0"/>
        <w:adjustRightInd w:val="0"/>
        <w:spacing w:after="0" w:line="240" w:lineRule="auto"/>
        <w:ind w:left="360"/>
        <w:jc w:val="both"/>
        <w:rPr>
          <w:rFonts w:asciiTheme="majorHAnsi" w:hAnsiTheme="majorHAnsi"/>
          <w:bCs/>
          <w:color w:val="000000"/>
          <w:lang w:val="en-GB"/>
        </w:rPr>
      </w:pPr>
    </w:p>
    <w:p w:rsidR="00E854B2" w:rsidRDefault="00E854B2" w:rsidP="00E854B2">
      <w:pPr>
        <w:autoSpaceDE w:val="0"/>
        <w:autoSpaceDN w:val="0"/>
        <w:adjustRightInd w:val="0"/>
        <w:spacing w:after="0" w:line="240" w:lineRule="auto"/>
        <w:jc w:val="both"/>
        <w:rPr>
          <w:rFonts w:asciiTheme="majorHAnsi" w:eastAsiaTheme="minorHAnsi" w:hAnsiTheme="majorHAnsi"/>
        </w:rPr>
      </w:pPr>
      <w:r>
        <w:rPr>
          <w:rFonts w:asciiTheme="majorHAnsi" w:eastAsiaTheme="minorHAnsi" w:hAnsiTheme="majorHAnsi"/>
        </w:rPr>
        <w:t>Fourth,</w:t>
      </w:r>
      <w:r w:rsidRPr="00573709">
        <w:rPr>
          <w:rFonts w:asciiTheme="majorHAnsi" w:eastAsiaTheme="minorHAnsi" w:hAnsiTheme="majorHAnsi"/>
        </w:rPr>
        <w:t xml:space="preserve"> there may be economic efficiencies in establishing a common </w:t>
      </w:r>
      <w:r>
        <w:rPr>
          <w:rFonts w:asciiTheme="majorHAnsi" w:eastAsiaTheme="minorHAnsi" w:hAnsiTheme="majorHAnsi"/>
        </w:rPr>
        <w:t>framework</w:t>
      </w:r>
      <w:r w:rsidRPr="00573709">
        <w:rPr>
          <w:rFonts w:asciiTheme="majorHAnsi" w:eastAsiaTheme="minorHAnsi" w:hAnsiTheme="majorHAnsi"/>
        </w:rPr>
        <w:t xml:space="preserve"> where issues such as dispute resolution and the handling of grievance claims are dealt with jointly. There may also be economic benefits in pooling resources to undertake the appraisal of projects with similar environmental and social impacts.</w:t>
      </w:r>
      <w:r w:rsidR="00F275AC">
        <w:rPr>
          <w:rFonts w:asciiTheme="majorHAnsi" w:eastAsiaTheme="minorHAnsi" w:hAnsiTheme="majorHAnsi"/>
        </w:rPr>
        <w:t xml:space="preserve"> </w:t>
      </w:r>
    </w:p>
    <w:p w:rsidR="00447F74" w:rsidRPr="00573709" w:rsidRDefault="00447F74" w:rsidP="00447F74">
      <w:pPr>
        <w:autoSpaceDE w:val="0"/>
        <w:autoSpaceDN w:val="0"/>
        <w:adjustRightInd w:val="0"/>
        <w:spacing w:after="0" w:line="240" w:lineRule="auto"/>
        <w:jc w:val="both"/>
        <w:rPr>
          <w:rFonts w:asciiTheme="majorHAnsi" w:hAnsiTheme="majorHAnsi"/>
        </w:rPr>
        <w:sectPr w:rsidR="00447F74" w:rsidRPr="00573709" w:rsidSect="00BA6934">
          <w:headerReference w:type="default" r:id="rId9"/>
          <w:footerReference w:type="default" r:id="rId10"/>
          <w:pgSz w:w="12240" w:h="15840"/>
          <w:pgMar w:top="1440" w:right="1440" w:bottom="1440" w:left="1440" w:header="720" w:footer="720" w:gutter="0"/>
          <w:cols w:space="720"/>
          <w:docGrid w:linePitch="360"/>
        </w:sectPr>
      </w:pPr>
    </w:p>
    <w:p w:rsidR="00383376" w:rsidRDefault="00383376" w:rsidP="00383376">
      <w:pPr>
        <w:pStyle w:val="Heading1"/>
        <w:jc w:val="center"/>
      </w:pPr>
      <w:r>
        <w:lastRenderedPageBreak/>
        <w:t xml:space="preserve">Table </w:t>
      </w:r>
      <w:r w:rsidRPr="00573709">
        <w:t>of Social and Environmental Minimum Standards and Accountability Requirements</w:t>
      </w:r>
    </w:p>
    <w:p w:rsidR="00383376" w:rsidRPr="00CC64CC" w:rsidRDefault="00383376" w:rsidP="00383376">
      <w:pPr>
        <w:pStyle w:val="NoSpacing"/>
      </w:pPr>
    </w:p>
    <w:tbl>
      <w:tblPr>
        <w:tblStyle w:val="TableGrid"/>
        <w:tblW w:w="15210" w:type="dxa"/>
        <w:tblInd w:w="-972" w:type="dxa"/>
        <w:tblLayout w:type="fixed"/>
        <w:tblLook w:val="04A0" w:firstRow="1" w:lastRow="0" w:firstColumn="1" w:lastColumn="0" w:noHBand="0" w:noVBand="1"/>
      </w:tblPr>
      <w:tblGrid>
        <w:gridCol w:w="1620"/>
        <w:gridCol w:w="4050"/>
        <w:gridCol w:w="3780"/>
        <w:gridCol w:w="2700"/>
        <w:gridCol w:w="3060"/>
      </w:tblGrid>
      <w:tr w:rsidR="00383376" w:rsidRPr="00AE24A7" w:rsidTr="00C736F4">
        <w:trPr>
          <w:trHeight w:val="251"/>
        </w:trPr>
        <w:tc>
          <w:tcPr>
            <w:tcW w:w="1620" w:type="dxa"/>
            <w:tcBorders>
              <w:top w:val="single" w:sz="4" w:space="0" w:color="auto"/>
              <w:left w:val="single" w:sz="4" w:space="0" w:color="auto"/>
              <w:bottom w:val="single" w:sz="4" w:space="0" w:color="auto"/>
              <w:right w:val="single" w:sz="4" w:space="0" w:color="auto"/>
            </w:tcBorders>
          </w:tcPr>
          <w:p w:rsidR="00383376" w:rsidRPr="00AE24A7" w:rsidRDefault="00383376" w:rsidP="00C736F4">
            <w:pPr>
              <w:rPr>
                <w:rFonts w:ascii="Times New Roman" w:hAnsi="Times New Roman"/>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 xml:space="preserve">FCPF </w:t>
            </w:r>
          </w:p>
        </w:tc>
        <w:tc>
          <w:tcPr>
            <w:tcW w:w="378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GEF</w:t>
            </w:r>
            <w:r w:rsidRPr="00AE24A7">
              <w:rPr>
                <w:rStyle w:val="FootnoteReference"/>
                <w:rFonts w:ascii="Times New Roman" w:hAnsi="Times New Roman"/>
                <w:b/>
                <w:sz w:val="20"/>
                <w:szCs w:val="20"/>
              </w:rPr>
              <w:footnoteReference w:id="2"/>
            </w:r>
          </w:p>
        </w:tc>
        <w:tc>
          <w:tcPr>
            <w:tcW w:w="270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GCF</w:t>
            </w:r>
          </w:p>
        </w:tc>
        <w:tc>
          <w:tcPr>
            <w:tcW w:w="306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pStyle w:val="NoSpacing"/>
              <w:rPr>
                <w:rFonts w:ascii="Times New Roman" w:hAnsi="Times New Roman"/>
                <w:sz w:val="20"/>
                <w:szCs w:val="20"/>
                <w:lang w:val="fr-FR"/>
              </w:rPr>
            </w:pPr>
            <w:r w:rsidRPr="00AE24A7">
              <w:rPr>
                <w:rFonts w:ascii="Times New Roman" w:hAnsi="Times New Roman"/>
                <w:b/>
                <w:sz w:val="20"/>
                <w:szCs w:val="20"/>
                <w:lang w:val="fr-FR"/>
              </w:rPr>
              <w:t xml:space="preserve">UN </w:t>
            </w:r>
            <w:proofErr w:type="spellStart"/>
            <w:r w:rsidRPr="00AE24A7">
              <w:rPr>
                <w:rFonts w:ascii="Times New Roman" w:hAnsi="Times New Roman"/>
                <w:b/>
                <w:sz w:val="20"/>
                <w:szCs w:val="20"/>
                <w:lang w:val="fr-FR"/>
              </w:rPr>
              <w:t>Environment</w:t>
            </w:r>
            <w:proofErr w:type="spellEnd"/>
            <w:r w:rsidRPr="00AE24A7">
              <w:rPr>
                <w:rFonts w:ascii="Times New Roman" w:hAnsi="Times New Roman"/>
                <w:b/>
                <w:sz w:val="20"/>
                <w:szCs w:val="20"/>
                <w:lang w:val="fr-FR"/>
              </w:rPr>
              <w:t xml:space="preserve"> Management Group (EMG) </w:t>
            </w:r>
          </w:p>
        </w:tc>
      </w:tr>
      <w:tr w:rsidR="00383376" w:rsidRPr="00AE24A7" w:rsidTr="00C736F4">
        <w:tc>
          <w:tcPr>
            <w:tcW w:w="1620" w:type="dxa"/>
            <w:tcBorders>
              <w:top w:val="single" w:sz="4" w:space="0" w:color="auto"/>
              <w:left w:val="single" w:sz="4" w:space="0" w:color="auto"/>
              <w:bottom w:val="single" w:sz="4" w:space="0" w:color="auto"/>
              <w:right w:val="single" w:sz="4" w:space="0" w:color="auto"/>
            </w:tcBorders>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Relevant Documentation</w:t>
            </w:r>
          </w:p>
        </w:tc>
        <w:tc>
          <w:tcPr>
            <w:tcW w:w="4050" w:type="dxa"/>
            <w:tcBorders>
              <w:top w:val="single" w:sz="4" w:space="0" w:color="auto"/>
              <w:left w:val="single" w:sz="4" w:space="0" w:color="auto"/>
              <w:bottom w:val="single" w:sz="4" w:space="0" w:color="auto"/>
              <w:right w:val="single" w:sz="4" w:space="0" w:color="auto"/>
            </w:tcBorders>
          </w:tcPr>
          <w:p w:rsidR="00383376" w:rsidRPr="00AE24A7" w:rsidRDefault="00BB5B62" w:rsidP="00C736F4">
            <w:pPr>
              <w:rPr>
                <w:rFonts w:ascii="Times New Roman" w:hAnsi="Times New Roman"/>
                <w:sz w:val="20"/>
                <w:szCs w:val="20"/>
              </w:rPr>
            </w:pPr>
            <w:hyperlink r:id="rId11" w:history="1">
              <w:r w:rsidR="00383376" w:rsidRPr="00AE24A7">
                <w:rPr>
                  <w:rStyle w:val="Hyperlink"/>
                  <w:rFonts w:ascii="Times New Roman" w:hAnsi="Times New Roman"/>
                  <w:sz w:val="20"/>
                  <w:szCs w:val="20"/>
                </w:rPr>
                <w:t>FCPF Common Approach to Environmental and Social Safeguards</w:t>
              </w:r>
            </w:hyperlink>
          </w:p>
        </w:tc>
        <w:tc>
          <w:tcPr>
            <w:tcW w:w="3780" w:type="dxa"/>
            <w:tcBorders>
              <w:top w:val="single" w:sz="4" w:space="0" w:color="auto"/>
              <w:left w:val="single" w:sz="4" w:space="0" w:color="auto"/>
              <w:bottom w:val="single" w:sz="4" w:space="0" w:color="auto"/>
              <w:right w:val="single" w:sz="4" w:space="0" w:color="auto"/>
            </w:tcBorders>
          </w:tcPr>
          <w:p w:rsidR="00383376" w:rsidRPr="00AE24A7" w:rsidRDefault="00BB5B62" w:rsidP="00C736F4">
            <w:pPr>
              <w:rPr>
                <w:rFonts w:ascii="Times New Roman" w:hAnsi="Times New Roman"/>
                <w:sz w:val="20"/>
                <w:szCs w:val="20"/>
              </w:rPr>
            </w:pPr>
            <w:hyperlink r:id="rId12" w:history="1">
              <w:r w:rsidR="00383376" w:rsidRPr="00AE24A7">
                <w:rPr>
                  <w:rStyle w:val="Hyperlink"/>
                  <w:rFonts w:ascii="Times New Roman" w:hAnsi="Times New Roman"/>
                  <w:sz w:val="20"/>
                  <w:szCs w:val="20"/>
                </w:rPr>
                <w:t xml:space="preserve">GEF Policy on Agency Minimum Standards on Environmental and Social Safeguards </w:t>
              </w:r>
            </w:hyperlink>
            <w:r w:rsidR="00383376" w:rsidRPr="00AE24A7">
              <w:rPr>
                <w:rFonts w:ascii="Times New Roman" w:hAnsi="Times New Roman"/>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rsidR="00383376" w:rsidRPr="00AE24A7" w:rsidRDefault="00BB5B62" w:rsidP="00C736F4">
            <w:pPr>
              <w:rPr>
                <w:rFonts w:ascii="Times New Roman" w:hAnsi="Times New Roman"/>
                <w:sz w:val="20"/>
                <w:szCs w:val="20"/>
              </w:rPr>
            </w:pPr>
            <w:hyperlink r:id="rId13" w:history="1">
              <w:r w:rsidR="00383376" w:rsidRPr="00AE24A7">
                <w:rPr>
                  <w:rStyle w:val="Hyperlink"/>
                  <w:rFonts w:ascii="Times New Roman" w:hAnsi="Times New Roman"/>
                  <w:sz w:val="20"/>
                  <w:szCs w:val="20"/>
                </w:rPr>
                <w:t>Draft decision -/CP.17 - Green Climate Fund -Report of the Transitional Committee</w:t>
              </w:r>
            </w:hyperlink>
          </w:p>
        </w:tc>
        <w:tc>
          <w:tcPr>
            <w:tcW w:w="3060" w:type="dxa"/>
            <w:tcBorders>
              <w:top w:val="single" w:sz="4" w:space="0" w:color="auto"/>
              <w:left w:val="single" w:sz="4" w:space="0" w:color="auto"/>
              <w:bottom w:val="single" w:sz="4" w:space="0" w:color="auto"/>
              <w:right w:val="single" w:sz="4" w:space="0" w:color="auto"/>
            </w:tcBorders>
          </w:tcPr>
          <w:p w:rsidR="00383376" w:rsidRPr="00AE24A7" w:rsidRDefault="00BB5B62" w:rsidP="00C736F4">
            <w:pPr>
              <w:rPr>
                <w:rFonts w:ascii="Times New Roman" w:hAnsi="Times New Roman"/>
                <w:sz w:val="20"/>
                <w:szCs w:val="20"/>
              </w:rPr>
            </w:pPr>
            <w:hyperlink r:id="rId14" w:history="1">
              <w:r w:rsidR="00383376" w:rsidRPr="00AE24A7">
                <w:rPr>
                  <w:rStyle w:val="Hyperlink"/>
                  <w:rFonts w:ascii="Times New Roman" w:hAnsi="Times New Roman"/>
                  <w:sz w:val="20"/>
                  <w:szCs w:val="20"/>
                </w:rPr>
                <w:t>Framework for Advancing Environmental and Social Sustainability in the UN System</w:t>
              </w:r>
            </w:hyperlink>
          </w:p>
        </w:tc>
      </w:tr>
      <w:tr w:rsidR="00383376" w:rsidRPr="00AE24A7" w:rsidTr="00C736F4">
        <w:tc>
          <w:tcPr>
            <w:tcW w:w="162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Agencies</w:t>
            </w:r>
          </w:p>
        </w:tc>
        <w:tc>
          <w:tcPr>
            <w:tcW w:w="405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WB, UNDP, FAO</w:t>
            </w:r>
          </w:p>
        </w:tc>
        <w:tc>
          <w:tcPr>
            <w:tcW w:w="378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FAO, UNDP, UNEP</w:t>
            </w:r>
          </w:p>
        </w:tc>
        <w:tc>
          <w:tcPr>
            <w:tcW w:w="270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WB, FAO, UNDP, UNEP</w:t>
            </w:r>
          </w:p>
        </w:tc>
        <w:tc>
          <w:tcPr>
            <w:tcW w:w="306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All EMG agencies including FAO, UNDP, UNEP</w:t>
            </w:r>
          </w:p>
        </w:tc>
      </w:tr>
      <w:tr w:rsidR="00383376" w:rsidRPr="00AE24A7" w:rsidTr="00C736F4">
        <w:tc>
          <w:tcPr>
            <w:tcW w:w="162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Level of ‘</w:t>
            </w:r>
            <w:proofErr w:type="spellStart"/>
            <w:r w:rsidRPr="00AE24A7">
              <w:rPr>
                <w:rFonts w:ascii="Times New Roman" w:hAnsi="Times New Roman"/>
                <w:b/>
                <w:sz w:val="20"/>
                <w:szCs w:val="20"/>
              </w:rPr>
              <w:t>bindingness</w:t>
            </w:r>
            <w:proofErr w:type="spellEnd"/>
            <w:r w:rsidRPr="00AE24A7">
              <w:rPr>
                <w:rFonts w:ascii="Times New Roman" w:hAnsi="Times New Roman"/>
                <w:b/>
                <w:sz w:val="20"/>
                <w:szCs w:val="20"/>
              </w:rPr>
              <w:t>’</w:t>
            </w:r>
          </w:p>
        </w:tc>
        <w:tc>
          <w:tcPr>
            <w:tcW w:w="405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autoSpaceDE w:val="0"/>
              <w:autoSpaceDN w:val="0"/>
              <w:adjustRightInd w:val="0"/>
              <w:rPr>
                <w:rFonts w:ascii="Times New Roman" w:hAnsi="Times New Roman"/>
                <w:sz w:val="20"/>
                <w:szCs w:val="20"/>
              </w:rPr>
            </w:pPr>
            <w:r w:rsidRPr="00AE24A7">
              <w:rPr>
                <w:rFonts w:ascii="Times New Roman" w:hAnsi="Times New Roman"/>
                <w:sz w:val="20"/>
                <w:szCs w:val="20"/>
              </w:rPr>
              <w:t>Part of the legally binding</w:t>
            </w:r>
          </w:p>
          <w:p w:rsidR="00383376" w:rsidRPr="00AE24A7" w:rsidRDefault="00383376" w:rsidP="00C736F4">
            <w:pPr>
              <w:rPr>
                <w:rFonts w:ascii="Times New Roman" w:hAnsi="Times New Roman"/>
                <w:sz w:val="20"/>
                <w:szCs w:val="20"/>
              </w:rPr>
            </w:pPr>
            <w:r w:rsidRPr="00AE24A7">
              <w:rPr>
                <w:rFonts w:ascii="Times New Roman" w:hAnsi="Times New Roman"/>
                <w:sz w:val="20"/>
                <w:szCs w:val="20"/>
              </w:rPr>
              <w:t>Transfer Agreements</w:t>
            </w:r>
          </w:p>
        </w:tc>
        <w:tc>
          <w:tcPr>
            <w:tcW w:w="378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pStyle w:val="Default"/>
              <w:rPr>
                <w:rFonts w:ascii="Times New Roman" w:hAnsi="Times New Roman" w:cs="Times New Roman"/>
                <w:sz w:val="20"/>
                <w:szCs w:val="20"/>
              </w:rPr>
            </w:pPr>
            <w:r w:rsidRPr="00AE24A7">
              <w:rPr>
                <w:rFonts w:ascii="Times New Roman" w:hAnsi="Times New Roman" w:cs="Times New Roman"/>
                <w:sz w:val="20"/>
                <w:szCs w:val="20"/>
              </w:rPr>
              <w:t xml:space="preserve">In order to be accredited as a GEF Project Agency, applicants will need to demonstrate to the GEF Accreditation Panel that they have policies and systems that comply with the criteria of all eight minimum standards </w:t>
            </w:r>
          </w:p>
        </w:tc>
        <w:tc>
          <w:tcPr>
            <w:tcW w:w="270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 xml:space="preserve">The Board will agree on and adopt best practice environmental and social safeguards, which shall be applied to all </w:t>
            </w:r>
            <w:proofErr w:type="spellStart"/>
            <w:r w:rsidRPr="00AE24A7">
              <w:rPr>
                <w:rFonts w:ascii="Times New Roman" w:hAnsi="Times New Roman"/>
                <w:sz w:val="20"/>
                <w:szCs w:val="20"/>
              </w:rPr>
              <w:t>programmes</w:t>
            </w:r>
            <w:proofErr w:type="spellEnd"/>
            <w:r w:rsidRPr="00AE24A7">
              <w:rPr>
                <w:rFonts w:ascii="Times New Roman" w:hAnsi="Times New Roman"/>
                <w:sz w:val="20"/>
                <w:szCs w:val="20"/>
              </w:rPr>
              <w:t xml:space="preserve"> and projects financed using the resources of the Fund.</w:t>
            </w:r>
          </w:p>
        </w:tc>
        <w:tc>
          <w:tcPr>
            <w:tcW w:w="306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iCs/>
                <w:sz w:val="20"/>
                <w:szCs w:val="20"/>
              </w:rPr>
            </w:pPr>
            <w:r w:rsidRPr="00AE24A7">
              <w:rPr>
                <w:rFonts w:ascii="Times New Roman" w:hAnsi="Times New Roman"/>
                <w:iCs/>
                <w:sz w:val="20"/>
                <w:szCs w:val="20"/>
              </w:rPr>
              <w:t>The framework is not binding.  The next steps include the inter-agency process continuing its consultative work. This will focus on evolving</w:t>
            </w:r>
          </w:p>
          <w:p w:rsidR="00383376" w:rsidRPr="00AE24A7" w:rsidRDefault="00383376" w:rsidP="00C736F4">
            <w:pPr>
              <w:rPr>
                <w:rFonts w:ascii="Times New Roman" w:hAnsi="Times New Roman"/>
                <w:iCs/>
                <w:sz w:val="20"/>
                <w:szCs w:val="20"/>
              </w:rPr>
            </w:pPr>
            <w:r w:rsidRPr="00AE24A7">
              <w:rPr>
                <w:rFonts w:ascii="Times New Roman" w:hAnsi="Times New Roman"/>
                <w:iCs/>
                <w:sz w:val="20"/>
                <w:szCs w:val="20"/>
              </w:rPr>
              <w:t>the policy-level framework into an implementation phase that</w:t>
            </w:r>
          </w:p>
          <w:p w:rsidR="00383376" w:rsidRPr="00AE24A7" w:rsidRDefault="00383376" w:rsidP="00C736F4">
            <w:pPr>
              <w:rPr>
                <w:rFonts w:ascii="Times New Roman" w:hAnsi="Times New Roman"/>
                <w:iCs/>
                <w:sz w:val="20"/>
                <w:szCs w:val="20"/>
              </w:rPr>
            </w:pPr>
            <w:r w:rsidRPr="00AE24A7">
              <w:rPr>
                <w:rFonts w:ascii="Times New Roman" w:hAnsi="Times New Roman"/>
                <w:iCs/>
                <w:sz w:val="20"/>
                <w:szCs w:val="20"/>
              </w:rPr>
              <w:t>all United Nations entities can take forward in a flexible and</w:t>
            </w:r>
          </w:p>
          <w:p w:rsidR="00383376" w:rsidRPr="00AE24A7" w:rsidRDefault="00383376" w:rsidP="00C736F4">
            <w:pPr>
              <w:rPr>
                <w:rFonts w:ascii="Times New Roman" w:hAnsi="Times New Roman"/>
                <w:iCs/>
                <w:sz w:val="20"/>
                <w:szCs w:val="20"/>
              </w:rPr>
            </w:pPr>
            <w:proofErr w:type="gramStart"/>
            <w:r w:rsidRPr="00AE24A7">
              <w:rPr>
                <w:rFonts w:ascii="Times New Roman" w:hAnsi="Times New Roman"/>
                <w:iCs/>
                <w:sz w:val="20"/>
                <w:szCs w:val="20"/>
              </w:rPr>
              <w:t>phased</w:t>
            </w:r>
            <w:proofErr w:type="gramEnd"/>
            <w:r w:rsidRPr="00AE24A7">
              <w:rPr>
                <w:rFonts w:ascii="Times New Roman" w:hAnsi="Times New Roman"/>
                <w:iCs/>
                <w:sz w:val="20"/>
                <w:szCs w:val="20"/>
              </w:rPr>
              <w:t xml:space="preserve"> approach.</w:t>
            </w:r>
          </w:p>
          <w:p w:rsidR="00383376" w:rsidRPr="00AE24A7" w:rsidRDefault="00383376" w:rsidP="00C736F4">
            <w:pPr>
              <w:rPr>
                <w:rFonts w:ascii="Times New Roman" w:hAnsi="Times New Roman"/>
                <w:iCs/>
                <w:sz w:val="20"/>
                <w:szCs w:val="20"/>
              </w:rPr>
            </w:pPr>
          </w:p>
        </w:tc>
      </w:tr>
      <w:tr w:rsidR="00383376" w:rsidRPr="00AE24A7" w:rsidTr="00C736F4">
        <w:tc>
          <w:tcPr>
            <w:tcW w:w="162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In-force date</w:t>
            </w:r>
          </w:p>
        </w:tc>
        <w:tc>
          <w:tcPr>
            <w:tcW w:w="405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autoSpaceDE w:val="0"/>
              <w:autoSpaceDN w:val="0"/>
              <w:adjustRightInd w:val="0"/>
              <w:rPr>
                <w:rFonts w:ascii="Times New Roman" w:hAnsi="Times New Roman"/>
                <w:sz w:val="20"/>
                <w:szCs w:val="20"/>
              </w:rPr>
            </w:pPr>
            <w:r w:rsidRPr="00AE24A7">
              <w:rPr>
                <w:rFonts w:ascii="Times New Roman" w:hAnsi="Times New Roman"/>
                <w:sz w:val="20"/>
                <w:szCs w:val="20"/>
              </w:rPr>
              <w:t>2012</w:t>
            </w:r>
          </w:p>
        </w:tc>
        <w:tc>
          <w:tcPr>
            <w:tcW w:w="3780" w:type="dxa"/>
            <w:tcBorders>
              <w:top w:val="single" w:sz="4" w:space="0" w:color="auto"/>
              <w:left w:val="single" w:sz="4" w:space="0" w:color="auto"/>
              <w:bottom w:val="single" w:sz="4" w:space="0" w:color="auto"/>
              <w:right w:val="single" w:sz="4" w:space="0" w:color="auto"/>
            </w:tcBorders>
          </w:tcPr>
          <w:p w:rsidR="00383376" w:rsidRPr="00AE24A7" w:rsidRDefault="00383376" w:rsidP="00C736F4">
            <w:pPr>
              <w:pStyle w:val="Default"/>
              <w:rPr>
                <w:rFonts w:ascii="Times New Roman" w:hAnsi="Times New Roman" w:cs="Times New Roman"/>
                <w:sz w:val="20"/>
                <w:szCs w:val="20"/>
              </w:rPr>
            </w:pPr>
            <w:r w:rsidRPr="00AE24A7">
              <w:rPr>
                <w:rFonts w:ascii="Times New Roman" w:hAnsi="Times New Roman" w:cs="Times New Roman"/>
                <w:sz w:val="20"/>
                <w:szCs w:val="20"/>
              </w:rPr>
              <w:t>2014</w:t>
            </w:r>
          </w:p>
          <w:p w:rsidR="00383376" w:rsidRPr="00AE24A7" w:rsidRDefault="00383376" w:rsidP="00C736F4">
            <w:pPr>
              <w:rPr>
                <w:rFonts w:ascii="Times New Roman" w:hAnsi="Times New Roman"/>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2015</w:t>
            </w:r>
          </w:p>
        </w:tc>
        <w:tc>
          <w:tcPr>
            <w:tcW w:w="306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 xml:space="preserve"> Framework endorsed by EMG Senior Officials in 2011</w:t>
            </w:r>
          </w:p>
        </w:tc>
      </w:tr>
      <w:tr w:rsidR="00383376" w:rsidRPr="00AE24A7" w:rsidTr="00C736F4">
        <w:trPr>
          <w:trHeight w:val="2150"/>
        </w:trPr>
        <w:tc>
          <w:tcPr>
            <w:tcW w:w="162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 xml:space="preserve">Social and Environmental Minimum Standard </w:t>
            </w:r>
          </w:p>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Requirements</w:t>
            </w:r>
          </w:p>
        </w:tc>
        <w:tc>
          <w:tcPr>
            <w:tcW w:w="4050" w:type="dxa"/>
            <w:tcBorders>
              <w:top w:val="single" w:sz="4" w:space="0" w:color="auto"/>
              <w:left w:val="single" w:sz="4" w:space="0" w:color="auto"/>
              <w:bottom w:val="single" w:sz="4" w:space="0" w:color="auto"/>
              <w:right w:val="single" w:sz="4" w:space="0" w:color="auto"/>
            </w:tcBorders>
          </w:tcPr>
          <w:p w:rsidR="00383376" w:rsidRPr="00AE24A7" w:rsidRDefault="00383376" w:rsidP="00C736F4">
            <w:pPr>
              <w:autoSpaceDE w:val="0"/>
              <w:autoSpaceDN w:val="0"/>
              <w:adjustRightInd w:val="0"/>
              <w:rPr>
                <w:rFonts w:ascii="Times New Roman" w:hAnsi="Times New Roman"/>
                <w:sz w:val="20"/>
                <w:szCs w:val="20"/>
              </w:rPr>
            </w:pPr>
            <w:r w:rsidRPr="00AE24A7">
              <w:rPr>
                <w:rFonts w:ascii="Times New Roman" w:hAnsi="Times New Roman"/>
                <w:sz w:val="20"/>
                <w:szCs w:val="20"/>
              </w:rPr>
              <w:t>Substantial equivalence to the material elements of the WB’s environmental and social safeguard policies and procedures applicable to the FCPF Readiness Fund:</w:t>
            </w:r>
          </w:p>
          <w:p w:rsidR="00383376" w:rsidRPr="00AE24A7" w:rsidRDefault="00383376" w:rsidP="00C736F4">
            <w:pPr>
              <w:pStyle w:val="ListParagraph"/>
              <w:numPr>
                <w:ilvl w:val="0"/>
                <w:numId w:val="1"/>
              </w:numPr>
              <w:autoSpaceDE w:val="0"/>
              <w:autoSpaceDN w:val="0"/>
              <w:adjustRightInd w:val="0"/>
              <w:rPr>
                <w:rFonts w:ascii="Times New Roman" w:hAnsi="Times New Roman"/>
                <w:sz w:val="20"/>
                <w:szCs w:val="20"/>
              </w:rPr>
            </w:pPr>
            <w:r w:rsidRPr="00AE24A7">
              <w:rPr>
                <w:rFonts w:ascii="Times New Roman" w:hAnsi="Times New Roman"/>
                <w:sz w:val="20"/>
                <w:szCs w:val="20"/>
              </w:rPr>
              <w:t>Environmental Assessment</w:t>
            </w:r>
          </w:p>
          <w:p w:rsidR="00383376" w:rsidRPr="00AE24A7" w:rsidRDefault="00383376" w:rsidP="00C736F4">
            <w:pPr>
              <w:pStyle w:val="ListParagraph"/>
              <w:numPr>
                <w:ilvl w:val="0"/>
                <w:numId w:val="1"/>
              </w:numPr>
              <w:autoSpaceDE w:val="0"/>
              <w:autoSpaceDN w:val="0"/>
              <w:adjustRightInd w:val="0"/>
              <w:rPr>
                <w:rFonts w:ascii="Times New Roman" w:hAnsi="Times New Roman"/>
                <w:sz w:val="20"/>
                <w:szCs w:val="20"/>
              </w:rPr>
            </w:pPr>
            <w:r w:rsidRPr="00AE24A7">
              <w:rPr>
                <w:rFonts w:ascii="Times New Roman" w:hAnsi="Times New Roman"/>
                <w:sz w:val="20"/>
                <w:szCs w:val="20"/>
              </w:rPr>
              <w:t>Natural Habitats</w:t>
            </w:r>
          </w:p>
          <w:p w:rsidR="00383376" w:rsidRPr="00AE24A7" w:rsidRDefault="00383376" w:rsidP="00C736F4">
            <w:pPr>
              <w:pStyle w:val="ListParagraph"/>
              <w:numPr>
                <w:ilvl w:val="0"/>
                <w:numId w:val="1"/>
              </w:numPr>
              <w:autoSpaceDE w:val="0"/>
              <w:autoSpaceDN w:val="0"/>
              <w:adjustRightInd w:val="0"/>
              <w:rPr>
                <w:rFonts w:ascii="Times New Roman" w:hAnsi="Times New Roman"/>
                <w:sz w:val="20"/>
                <w:szCs w:val="20"/>
              </w:rPr>
            </w:pPr>
            <w:r w:rsidRPr="00AE24A7">
              <w:rPr>
                <w:rFonts w:ascii="Times New Roman" w:hAnsi="Times New Roman"/>
                <w:sz w:val="20"/>
                <w:szCs w:val="20"/>
              </w:rPr>
              <w:t>Forests</w:t>
            </w:r>
          </w:p>
          <w:p w:rsidR="00383376" w:rsidRPr="00AE24A7" w:rsidRDefault="00383376" w:rsidP="00C736F4">
            <w:pPr>
              <w:pStyle w:val="ListParagraph"/>
              <w:numPr>
                <w:ilvl w:val="0"/>
                <w:numId w:val="1"/>
              </w:numPr>
              <w:autoSpaceDE w:val="0"/>
              <w:autoSpaceDN w:val="0"/>
              <w:adjustRightInd w:val="0"/>
              <w:rPr>
                <w:rFonts w:ascii="Times New Roman" w:hAnsi="Times New Roman"/>
                <w:sz w:val="20"/>
                <w:szCs w:val="20"/>
              </w:rPr>
            </w:pPr>
            <w:r w:rsidRPr="00AE24A7">
              <w:rPr>
                <w:rFonts w:ascii="Times New Roman" w:hAnsi="Times New Roman"/>
                <w:sz w:val="20"/>
                <w:szCs w:val="20"/>
              </w:rPr>
              <w:t>Involuntary Resettlement</w:t>
            </w:r>
          </w:p>
          <w:p w:rsidR="00383376" w:rsidRPr="00AE24A7" w:rsidRDefault="00383376" w:rsidP="00C736F4">
            <w:pPr>
              <w:pStyle w:val="ListParagraph"/>
              <w:numPr>
                <w:ilvl w:val="0"/>
                <w:numId w:val="1"/>
              </w:numPr>
              <w:autoSpaceDE w:val="0"/>
              <w:autoSpaceDN w:val="0"/>
              <w:adjustRightInd w:val="0"/>
              <w:rPr>
                <w:rFonts w:ascii="Times New Roman" w:hAnsi="Times New Roman"/>
                <w:sz w:val="20"/>
                <w:szCs w:val="20"/>
              </w:rPr>
            </w:pPr>
            <w:r w:rsidRPr="00AE24A7">
              <w:rPr>
                <w:rFonts w:ascii="Times New Roman" w:hAnsi="Times New Roman"/>
                <w:sz w:val="20"/>
                <w:szCs w:val="20"/>
              </w:rPr>
              <w:t>Indigenous Peoples</w:t>
            </w:r>
          </w:p>
          <w:p w:rsidR="00383376" w:rsidRPr="00AE24A7" w:rsidRDefault="00383376" w:rsidP="00C736F4">
            <w:pPr>
              <w:pStyle w:val="ListParagraph"/>
              <w:numPr>
                <w:ilvl w:val="0"/>
                <w:numId w:val="1"/>
              </w:numPr>
              <w:autoSpaceDE w:val="0"/>
              <w:autoSpaceDN w:val="0"/>
              <w:adjustRightInd w:val="0"/>
              <w:rPr>
                <w:rFonts w:ascii="Times New Roman" w:hAnsi="Times New Roman"/>
                <w:sz w:val="20"/>
                <w:szCs w:val="20"/>
              </w:rPr>
            </w:pPr>
            <w:r w:rsidRPr="00AE24A7">
              <w:rPr>
                <w:rFonts w:ascii="Times New Roman" w:hAnsi="Times New Roman"/>
                <w:sz w:val="20"/>
                <w:szCs w:val="20"/>
              </w:rPr>
              <w:t>Physical and Cultural Resources</w:t>
            </w:r>
          </w:p>
          <w:p w:rsidR="00383376" w:rsidRPr="00AE24A7" w:rsidRDefault="00383376" w:rsidP="00C736F4">
            <w:pPr>
              <w:autoSpaceDE w:val="0"/>
              <w:autoSpaceDN w:val="0"/>
              <w:adjustRightInd w:val="0"/>
              <w:rPr>
                <w:rFonts w:ascii="Times New Roman" w:hAnsi="Times New Roman"/>
                <w:sz w:val="20"/>
                <w:szCs w:val="20"/>
              </w:rPr>
            </w:pPr>
          </w:p>
          <w:p w:rsidR="00383376" w:rsidRPr="00AE24A7" w:rsidRDefault="00383376" w:rsidP="00C736F4">
            <w:pPr>
              <w:autoSpaceDE w:val="0"/>
              <w:autoSpaceDN w:val="0"/>
              <w:adjustRightInd w:val="0"/>
              <w:rPr>
                <w:rFonts w:ascii="Times New Roman" w:hAnsi="Times New Roman"/>
                <w:sz w:val="20"/>
                <w:szCs w:val="20"/>
              </w:rPr>
            </w:pPr>
            <w:r w:rsidRPr="00AE24A7">
              <w:rPr>
                <w:rFonts w:ascii="Times New Roman" w:hAnsi="Times New Roman"/>
                <w:sz w:val="20"/>
                <w:szCs w:val="20"/>
              </w:rPr>
              <w:t>Strategic Environmental and Social Assessment (SESA)  and Environmental and Social Management Framework (ESMF)</w:t>
            </w:r>
          </w:p>
        </w:tc>
        <w:tc>
          <w:tcPr>
            <w:tcW w:w="3780" w:type="dxa"/>
            <w:tcBorders>
              <w:top w:val="single" w:sz="4" w:space="0" w:color="auto"/>
              <w:left w:val="single" w:sz="4" w:space="0" w:color="auto"/>
              <w:bottom w:val="single" w:sz="4" w:space="0" w:color="auto"/>
              <w:right w:val="single" w:sz="4" w:space="0" w:color="auto"/>
            </w:tcBorders>
          </w:tcPr>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 xml:space="preserve">Environmental and Social Impact Assessment; </w:t>
            </w:r>
          </w:p>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 xml:space="preserve">Natural Habitats; </w:t>
            </w:r>
          </w:p>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 xml:space="preserve">Involuntary Resettlement; </w:t>
            </w:r>
          </w:p>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 xml:space="preserve">Indigenous Peoples; </w:t>
            </w:r>
          </w:p>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Pest Management;</w:t>
            </w:r>
          </w:p>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 xml:space="preserve">Physical Cultural Resources; </w:t>
            </w:r>
          </w:p>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Safety of Dams;</w:t>
            </w:r>
          </w:p>
          <w:p w:rsidR="00383376" w:rsidRPr="00AE24A7" w:rsidRDefault="00383376" w:rsidP="00C736F4">
            <w:pPr>
              <w:pStyle w:val="Default"/>
              <w:numPr>
                <w:ilvl w:val="0"/>
                <w:numId w:val="2"/>
              </w:numPr>
              <w:rPr>
                <w:rFonts w:ascii="Times New Roman" w:hAnsi="Times New Roman" w:cs="Times New Roman"/>
                <w:sz w:val="20"/>
                <w:szCs w:val="20"/>
              </w:rPr>
            </w:pPr>
            <w:r w:rsidRPr="00AE24A7">
              <w:rPr>
                <w:rFonts w:ascii="Times New Roman" w:hAnsi="Times New Roman" w:cs="Times New Roman"/>
                <w:sz w:val="20"/>
                <w:szCs w:val="20"/>
              </w:rPr>
              <w:t>Accountability and Grievance Systems</w:t>
            </w:r>
          </w:p>
          <w:p w:rsidR="00383376" w:rsidRPr="00AE24A7" w:rsidRDefault="00383376" w:rsidP="00C736F4">
            <w:pPr>
              <w:rPr>
                <w:rFonts w:ascii="Times New Roman" w:hAnsi="Times New Roman"/>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383376" w:rsidRPr="00AE24A7" w:rsidRDefault="00383376" w:rsidP="00C736F4">
            <w:pPr>
              <w:tabs>
                <w:tab w:val="num" w:pos="1080"/>
              </w:tabs>
              <w:autoSpaceDE w:val="0"/>
              <w:autoSpaceDN w:val="0"/>
              <w:adjustRightInd w:val="0"/>
              <w:rPr>
                <w:rFonts w:ascii="Times New Roman" w:hAnsi="Times New Roman"/>
                <w:bCs/>
                <w:sz w:val="20"/>
                <w:szCs w:val="20"/>
              </w:rPr>
            </w:pPr>
            <w:r w:rsidRPr="00AE24A7">
              <w:rPr>
                <w:rFonts w:ascii="Times New Roman" w:hAnsi="Times New Roman"/>
                <w:bCs/>
                <w:sz w:val="20"/>
                <w:szCs w:val="20"/>
              </w:rPr>
              <w:t xml:space="preserve">The importance of </w:t>
            </w:r>
            <w:r w:rsidRPr="00AE24A7">
              <w:rPr>
                <w:rFonts w:ascii="Times New Roman" w:hAnsi="Times New Roman"/>
                <w:sz w:val="20"/>
                <w:szCs w:val="20"/>
              </w:rPr>
              <w:t xml:space="preserve">environmental and social safeguards measures was recognized by </w:t>
            </w:r>
            <w:r w:rsidRPr="00AE24A7">
              <w:rPr>
                <w:rFonts w:ascii="Times New Roman" w:hAnsi="Times New Roman"/>
                <w:bCs/>
                <w:sz w:val="20"/>
                <w:szCs w:val="20"/>
              </w:rPr>
              <w:t>the senior officials of the EMG. The UNEP Governing Council at its 26</w:t>
            </w:r>
            <w:r w:rsidRPr="00AE24A7">
              <w:rPr>
                <w:rFonts w:ascii="Times New Roman" w:hAnsi="Times New Roman"/>
                <w:bCs/>
                <w:sz w:val="20"/>
                <w:szCs w:val="20"/>
                <w:vertAlign w:val="superscript"/>
              </w:rPr>
              <w:t>th</w:t>
            </w:r>
            <w:r w:rsidRPr="00AE24A7">
              <w:rPr>
                <w:rFonts w:ascii="Times New Roman" w:hAnsi="Times New Roman"/>
                <w:bCs/>
                <w:sz w:val="20"/>
                <w:szCs w:val="20"/>
              </w:rPr>
              <w:t xml:space="preserve"> session in February 2011 also encouraged the EMG t</w:t>
            </w:r>
            <w:r w:rsidRPr="00AE24A7">
              <w:rPr>
                <w:rFonts w:ascii="Times New Roman" w:eastAsia="SimSun" w:hAnsi="Times New Roman"/>
                <w:sz w:val="20"/>
                <w:szCs w:val="20"/>
                <w:lang w:eastAsia="zh-CN"/>
              </w:rPr>
              <w:t>o put in place a process for environmental impact assessment and the use of environmental and social safeguards in respect of projects taken up directly by the organizations of the United Nations system</w:t>
            </w:r>
            <w:r w:rsidRPr="00AE24A7">
              <w:rPr>
                <w:rFonts w:ascii="Times New Roman" w:hAnsi="Times New Roman"/>
                <w:bCs/>
                <w:sz w:val="20"/>
                <w:szCs w:val="20"/>
              </w:rPr>
              <w:t xml:space="preserve">.  The endorsed </w:t>
            </w:r>
            <w:r w:rsidRPr="00AE24A7">
              <w:rPr>
                <w:rFonts w:ascii="Times New Roman" w:hAnsi="Times New Roman"/>
                <w:bCs/>
                <w:sz w:val="20"/>
                <w:szCs w:val="20"/>
              </w:rPr>
              <w:lastRenderedPageBreak/>
              <w:t xml:space="preserve">framework individual entities are expected to commit to the following outputs related to the </w:t>
            </w:r>
            <w:proofErr w:type="spellStart"/>
            <w:r w:rsidRPr="00AE24A7">
              <w:rPr>
                <w:rFonts w:ascii="Times New Roman" w:hAnsi="Times New Roman"/>
                <w:bCs/>
                <w:sz w:val="20"/>
                <w:szCs w:val="20"/>
              </w:rPr>
              <w:t>programme</w:t>
            </w:r>
            <w:proofErr w:type="spellEnd"/>
            <w:r w:rsidRPr="00AE24A7">
              <w:rPr>
                <w:rFonts w:ascii="Times New Roman" w:hAnsi="Times New Roman"/>
                <w:bCs/>
                <w:sz w:val="20"/>
                <w:szCs w:val="20"/>
              </w:rPr>
              <w:t xml:space="preserve">/project management entry point: </w:t>
            </w:r>
          </w:p>
          <w:p w:rsidR="00383376" w:rsidRPr="00AE24A7" w:rsidRDefault="00383376" w:rsidP="00383376">
            <w:pPr>
              <w:pStyle w:val="ListParagraph"/>
              <w:numPr>
                <w:ilvl w:val="0"/>
                <w:numId w:val="5"/>
              </w:numPr>
              <w:autoSpaceDE w:val="0"/>
              <w:autoSpaceDN w:val="0"/>
              <w:adjustRightInd w:val="0"/>
              <w:ind w:left="252" w:hanging="180"/>
              <w:rPr>
                <w:rFonts w:ascii="Times New Roman" w:hAnsi="Times New Roman"/>
                <w:bCs/>
                <w:sz w:val="20"/>
                <w:szCs w:val="20"/>
              </w:rPr>
            </w:pPr>
            <w:r w:rsidRPr="00AE24A7">
              <w:rPr>
                <w:rFonts w:ascii="Times New Roman" w:hAnsi="Times New Roman"/>
                <w:bCs/>
                <w:sz w:val="20"/>
                <w:szCs w:val="20"/>
              </w:rPr>
              <w:t>An environmental and social assessment framework (including safeguards) is developed and implemented; it includes screening, review, management plans, monitoring, accountability and transparency.</w:t>
            </w:r>
          </w:p>
          <w:p w:rsidR="00383376" w:rsidRPr="00AE24A7" w:rsidRDefault="00383376" w:rsidP="00383376">
            <w:pPr>
              <w:pStyle w:val="ListParagraph"/>
              <w:numPr>
                <w:ilvl w:val="1"/>
                <w:numId w:val="5"/>
              </w:numPr>
              <w:autoSpaceDE w:val="0"/>
              <w:autoSpaceDN w:val="0"/>
              <w:adjustRightInd w:val="0"/>
              <w:ind w:left="252" w:hanging="180"/>
              <w:rPr>
                <w:rFonts w:ascii="Times New Roman" w:hAnsi="Times New Roman"/>
                <w:bCs/>
                <w:sz w:val="20"/>
                <w:szCs w:val="20"/>
              </w:rPr>
            </w:pPr>
            <w:r w:rsidRPr="00AE24A7">
              <w:rPr>
                <w:rFonts w:ascii="Times New Roman" w:hAnsi="Times New Roman"/>
                <w:bCs/>
                <w:sz w:val="20"/>
                <w:szCs w:val="20"/>
              </w:rPr>
              <w:t>The consideration of environmental and social performance objectives is integrated into existing management approaches, such as partnerships and networks.</w:t>
            </w:r>
          </w:p>
        </w:tc>
      </w:tr>
      <w:tr w:rsidR="00383376" w:rsidRPr="00AE24A7" w:rsidTr="00C736F4">
        <w:tc>
          <w:tcPr>
            <w:tcW w:w="162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lastRenderedPageBreak/>
              <w:t xml:space="preserve">Corporate Grievance </w:t>
            </w:r>
          </w:p>
        </w:tc>
        <w:tc>
          <w:tcPr>
            <w:tcW w:w="4050" w:type="dxa"/>
            <w:tcBorders>
              <w:top w:val="single" w:sz="4" w:space="0" w:color="auto"/>
              <w:left w:val="single" w:sz="4" w:space="0" w:color="auto"/>
              <w:bottom w:val="single" w:sz="4" w:space="0" w:color="auto"/>
              <w:right w:val="single" w:sz="4" w:space="0" w:color="auto"/>
            </w:tcBorders>
          </w:tcPr>
          <w:p w:rsidR="00383376" w:rsidRPr="00AE24A7" w:rsidRDefault="00383376" w:rsidP="00C736F4">
            <w:pPr>
              <w:autoSpaceDE w:val="0"/>
              <w:autoSpaceDN w:val="0"/>
              <w:adjustRightInd w:val="0"/>
              <w:rPr>
                <w:rFonts w:ascii="Times New Roman" w:hAnsi="Times New Roman"/>
                <w:color w:val="000000"/>
                <w:sz w:val="20"/>
                <w:szCs w:val="20"/>
              </w:rPr>
            </w:pPr>
            <w:r w:rsidRPr="00AE24A7">
              <w:rPr>
                <w:rFonts w:ascii="Times New Roman" w:hAnsi="Times New Roman"/>
                <w:color w:val="000000"/>
                <w:sz w:val="20"/>
                <w:szCs w:val="20"/>
              </w:rPr>
              <w:t xml:space="preserve">Delivery Partners shall have sufficient capacity for dispute resolution </w:t>
            </w:r>
          </w:p>
          <w:p w:rsidR="00383376" w:rsidRPr="00AE24A7" w:rsidRDefault="00383376" w:rsidP="00C736F4">
            <w:pPr>
              <w:autoSpaceDE w:val="0"/>
              <w:autoSpaceDN w:val="0"/>
              <w:adjustRightInd w:val="0"/>
              <w:rPr>
                <w:rFonts w:ascii="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pStyle w:val="Default"/>
              <w:rPr>
                <w:rFonts w:ascii="Times New Roman" w:hAnsi="Times New Roman" w:cs="Times New Roman"/>
                <w:sz w:val="20"/>
                <w:szCs w:val="20"/>
              </w:rPr>
            </w:pPr>
            <w:r w:rsidRPr="00AE24A7">
              <w:rPr>
                <w:rFonts w:ascii="Times New Roman" w:hAnsi="Times New Roman" w:cs="Times New Roman"/>
                <w:sz w:val="20"/>
                <w:szCs w:val="20"/>
              </w:rPr>
              <w:t xml:space="preserve">Partner Agencies to have systems for receiving and responding to complaints, which are sometimes referred to as grievance or ombudsman functions. </w:t>
            </w:r>
          </w:p>
        </w:tc>
        <w:tc>
          <w:tcPr>
            <w:tcW w:w="2700" w:type="dxa"/>
            <w:vMerge w:val="restart"/>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The Board will establish an independent redress mechanism that will report to the Board. The mechanism will receive complaints related to the operation of the Fund and will evaluate and make recommendations (still under discussion)</w:t>
            </w:r>
          </w:p>
        </w:tc>
        <w:tc>
          <w:tcPr>
            <w:tcW w:w="3060" w:type="dxa"/>
            <w:vMerge w:val="restart"/>
            <w:tcBorders>
              <w:top w:val="single" w:sz="4" w:space="0" w:color="auto"/>
              <w:left w:val="single" w:sz="4" w:space="0" w:color="auto"/>
              <w:right w:val="single" w:sz="4" w:space="0" w:color="auto"/>
            </w:tcBorders>
          </w:tcPr>
          <w:p w:rsidR="00383376" w:rsidRPr="00AE24A7" w:rsidRDefault="00383376" w:rsidP="00C736F4">
            <w:pPr>
              <w:rPr>
                <w:rFonts w:ascii="Times New Roman" w:hAnsi="Times New Roman"/>
                <w:sz w:val="20"/>
                <w:szCs w:val="20"/>
              </w:rPr>
            </w:pPr>
            <w:r w:rsidRPr="00AE24A7">
              <w:rPr>
                <w:rFonts w:ascii="Times New Roman" w:hAnsi="Times New Roman"/>
                <w:sz w:val="20"/>
                <w:szCs w:val="20"/>
              </w:rPr>
              <w:t>In the next phase of the EMG Consultative Process, accountability issues including grievance are anticipated to be considered more closely and clarified as part of a roadmap for UN agencies to operationalize the framework.</w:t>
            </w:r>
          </w:p>
        </w:tc>
      </w:tr>
      <w:tr w:rsidR="00383376" w:rsidRPr="00AE24A7" w:rsidTr="00C736F4">
        <w:trPr>
          <w:trHeight w:val="665"/>
        </w:trPr>
        <w:tc>
          <w:tcPr>
            <w:tcW w:w="162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Corporate</w:t>
            </w:r>
          </w:p>
          <w:p w:rsidR="00383376" w:rsidRPr="00AE24A7" w:rsidRDefault="00383376" w:rsidP="00C736F4">
            <w:pPr>
              <w:rPr>
                <w:rFonts w:ascii="Times New Roman" w:hAnsi="Times New Roman"/>
                <w:b/>
                <w:sz w:val="20"/>
                <w:szCs w:val="20"/>
              </w:rPr>
            </w:pPr>
            <w:r w:rsidRPr="00AE24A7">
              <w:rPr>
                <w:rFonts w:ascii="Times New Roman" w:hAnsi="Times New Roman"/>
                <w:b/>
                <w:sz w:val="20"/>
                <w:szCs w:val="20"/>
              </w:rPr>
              <w:t>Accountability (Compliance)</w:t>
            </w:r>
          </w:p>
        </w:tc>
        <w:tc>
          <w:tcPr>
            <w:tcW w:w="405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autoSpaceDE w:val="0"/>
              <w:autoSpaceDN w:val="0"/>
              <w:adjustRightInd w:val="0"/>
              <w:rPr>
                <w:rFonts w:ascii="Times New Roman" w:hAnsi="Times New Roman"/>
                <w:sz w:val="20"/>
                <w:szCs w:val="20"/>
              </w:rPr>
            </w:pPr>
            <w:r w:rsidRPr="00AE24A7">
              <w:rPr>
                <w:rFonts w:ascii="Times New Roman" w:hAnsi="Times New Roman"/>
                <w:sz w:val="20"/>
                <w:szCs w:val="20"/>
              </w:rPr>
              <w:t>Each Delivery Partner shall have accountability measures available for FCPF Preparation Readiness grant agreements that are designed at a minimum to address breaches of the DP’s policies and procedures</w:t>
            </w:r>
          </w:p>
        </w:tc>
        <w:tc>
          <w:tcPr>
            <w:tcW w:w="3780" w:type="dxa"/>
            <w:tcBorders>
              <w:top w:val="single" w:sz="4" w:space="0" w:color="auto"/>
              <w:left w:val="single" w:sz="4" w:space="0" w:color="auto"/>
              <w:bottom w:val="single" w:sz="4" w:space="0" w:color="auto"/>
              <w:right w:val="single" w:sz="4" w:space="0" w:color="auto"/>
            </w:tcBorders>
            <w:hideMark/>
          </w:tcPr>
          <w:p w:rsidR="00383376" w:rsidRPr="00AE24A7" w:rsidRDefault="00383376" w:rsidP="00C736F4">
            <w:pPr>
              <w:pStyle w:val="Default"/>
              <w:rPr>
                <w:rFonts w:ascii="Times New Roman" w:hAnsi="Times New Roman" w:cs="Times New Roman"/>
                <w:sz w:val="20"/>
                <w:szCs w:val="20"/>
              </w:rPr>
            </w:pPr>
            <w:r w:rsidRPr="00AE24A7">
              <w:rPr>
                <w:rFonts w:ascii="Times New Roman" w:hAnsi="Times New Roman" w:cs="Times New Roman"/>
                <w:sz w:val="20"/>
                <w:szCs w:val="20"/>
              </w:rPr>
              <w:t xml:space="preserve">Partner Agency has systems or measures to ensure accountability, including determination of whether Agencies are complying with their own policies. </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383376" w:rsidRPr="00AE24A7" w:rsidRDefault="00383376" w:rsidP="00C736F4">
            <w:pPr>
              <w:rPr>
                <w:rFonts w:ascii="Times New Roman" w:hAnsi="Times New Roman"/>
                <w:sz w:val="20"/>
                <w:szCs w:val="20"/>
              </w:rPr>
            </w:pPr>
          </w:p>
        </w:tc>
        <w:tc>
          <w:tcPr>
            <w:tcW w:w="3060" w:type="dxa"/>
            <w:vMerge/>
            <w:tcBorders>
              <w:left w:val="single" w:sz="4" w:space="0" w:color="auto"/>
              <w:bottom w:val="single" w:sz="4" w:space="0" w:color="auto"/>
              <w:right w:val="single" w:sz="4" w:space="0" w:color="auto"/>
            </w:tcBorders>
          </w:tcPr>
          <w:p w:rsidR="00383376" w:rsidRPr="00AE24A7" w:rsidRDefault="00383376" w:rsidP="00C736F4">
            <w:pPr>
              <w:rPr>
                <w:rFonts w:ascii="Times New Roman" w:hAnsi="Times New Roman"/>
                <w:sz w:val="20"/>
                <w:szCs w:val="20"/>
              </w:rPr>
            </w:pPr>
          </w:p>
        </w:tc>
      </w:tr>
    </w:tbl>
    <w:p w:rsidR="00383376" w:rsidRPr="00AE24A7" w:rsidRDefault="00383376" w:rsidP="00383376">
      <w:pPr>
        <w:pStyle w:val="NoSpacing"/>
        <w:jc w:val="both"/>
        <w:rPr>
          <w:rFonts w:ascii="Times New Roman" w:hAnsi="Times New Roman"/>
          <w:b/>
          <w:sz w:val="20"/>
          <w:szCs w:val="20"/>
        </w:rPr>
      </w:pPr>
    </w:p>
    <w:p w:rsidR="00383376" w:rsidRPr="00AE24A7" w:rsidRDefault="00383376" w:rsidP="00383376">
      <w:pPr>
        <w:rPr>
          <w:rFonts w:ascii="Times New Roman" w:hAnsi="Times New Roman"/>
          <w:sz w:val="20"/>
          <w:szCs w:val="20"/>
        </w:rPr>
      </w:pPr>
    </w:p>
    <w:p w:rsidR="008869B1" w:rsidRDefault="008869B1"/>
    <w:sectPr w:rsidR="008869B1" w:rsidSect="00573709">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B62" w:rsidRDefault="00BB5B62" w:rsidP="00447F74">
      <w:pPr>
        <w:spacing w:after="0" w:line="240" w:lineRule="auto"/>
      </w:pPr>
      <w:r>
        <w:separator/>
      </w:r>
    </w:p>
  </w:endnote>
  <w:endnote w:type="continuationSeparator" w:id="0">
    <w:p w:rsidR="00BB5B62" w:rsidRDefault="00BB5B62" w:rsidP="0044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364475"/>
      <w:docPartObj>
        <w:docPartGallery w:val="Page Numbers (Bottom of Page)"/>
        <w:docPartUnique/>
      </w:docPartObj>
    </w:sdtPr>
    <w:sdtEndPr>
      <w:rPr>
        <w:noProof/>
      </w:rPr>
    </w:sdtEndPr>
    <w:sdtContent>
      <w:p w:rsidR="00447F74" w:rsidRDefault="005315BF">
        <w:pPr>
          <w:pStyle w:val="Footer"/>
          <w:jc w:val="right"/>
        </w:pPr>
        <w:r>
          <w:fldChar w:fldCharType="begin"/>
        </w:r>
        <w:r w:rsidR="00447F74">
          <w:instrText xml:space="preserve"> PAGE   \* MERGEFORMAT </w:instrText>
        </w:r>
        <w:r>
          <w:fldChar w:fldCharType="separate"/>
        </w:r>
        <w:r w:rsidR="00DD328C">
          <w:rPr>
            <w:noProof/>
          </w:rPr>
          <w:t>5</w:t>
        </w:r>
        <w:r>
          <w:rPr>
            <w:noProof/>
          </w:rPr>
          <w:fldChar w:fldCharType="end"/>
        </w:r>
      </w:p>
    </w:sdtContent>
  </w:sdt>
  <w:p w:rsidR="00447F74" w:rsidRDefault="00447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B62" w:rsidRDefault="00BB5B62" w:rsidP="00447F74">
      <w:pPr>
        <w:spacing w:after="0" w:line="240" w:lineRule="auto"/>
      </w:pPr>
      <w:r>
        <w:separator/>
      </w:r>
    </w:p>
  </w:footnote>
  <w:footnote w:type="continuationSeparator" w:id="0">
    <w:p w:rsidR="00BB5B62" w:rsidRDefault="00BB5B62" w:rsidP="00447F74">
      <w:pPr>
        <w:spacing w:after="0" w:line="240" w:lineRule="auto"/>
      </w:pPr>
      <w:r>
        <w:continuationSeparator/>
      </w:r>
    </w:p>
  </w:footnote>
  <w:footnote w:id="1">
    <w:p w:rsidR="00447F74" w:rsidRPr="00694A6E" w:rsidRDefault="00447F74" w:rsidP="00447F74">
      <w:pPr>
        <w:pStyle w:val="FootnoteText"/>
        <w:jc w:val="both"/>
        <w:rPr>
          <w:rFonts w:asciiTheme="majorHAnsi" w:hAnsiTheme="majorHAnsi"/>
          <w:sz w:val="18"/>
          <w:szCs w:val="18"/>
        </w:rPr>
      </w:pPr>
      <w:r w:rsidRPr="00694A6E">
        <w:rPr>
          <w:rStyle w:val="FootnoteReference"/>
          <w:rFonts w:asciiTheme="majorHAnsi" w:hAnsiTheme="majorHAnsi"/>
          <w:sz w:val="18"/>
          <w:szCs w:val="18"/>
        </w:rPr>
        <w:footnoteRef/>
      </w:r>
      <w:r w:rsidRPr="00694A6E">
        <w:rPr>
          <w:rFonts w:asciiTheme="majorHAnsi" w:hAnsiTheme="majorHAnsi"/>
          <w:sz w:val="18"/>
          <w:szCs w:val="18"/>
        </w:rPr>
        <w:t xml:space="preserve"> </w:t>
      </w:r>
      <w:r w:rsidRPr="00694A6E">
        <w:rPr>
          <w:rStyle w:val="Strong"/>
          <w:rFonts w:asciiTheme="majorHAnsi" w:hAnsiTheme="majorHAnsi"/>
          <w:b w:val="0"/>
          <w:sz w:val="18"/>
          <w:szCs w:val="18"/>
        </w:rPr>
        <w:t>The Environment Management Group (EMG)</w:t>
      </w:r>
      <w:r w:rsidRPr="00694A6E">
        <w:rPr>
          <w:rStyle w:val="Strong"/>
          <w:rFonts w:asciiTheme="majorHAnsi" w:hAnsiTheme="majorHAnsi"/>
          <w:sz w:val="18"/>
          <w:szCs w:val="18"/>
        </w:rPr>
        <w:t> </w:t>
      </w:r>
      <w:r w:rsidRPr="00694A6E">
        <w:rPr>
          <w:rFonts w:asciiTheme="majorHAnsi" w:hAnsiTheme="majorHAnsi"/>
          <w:sz w:val="18"/>
          <w:szCs w:val="18"/>
        </w:rPr>
        <w:t xml:space="preserve">is a United Nations System-wide coordination body. Its </w:t>
      </w:r>
      <w:hyperlink r:id="rId1" w:history="1">
        <w:r w:rsidRPr="00694A6E">
          <w:rPr>
            <w:rStyle w:val="Hyperlink"/>
            <w:rFonts w:asciiTheme="majorHAnsi" w:hAnsiTheme="majorHAnsi"/>
            <w:sz w:val="18"/>
            <w:szCs w:val="18"/>
          </w:rPr>
          <w:t>Membership</w:t>
        </w:r>
      </w:hyperlink>
      <w:r w:rsidRPr="00694A6E">
        <w:rPr>
          <w:rFonts w:asciiTheme="majorHAnsi" w:hAnsiTheme="majorHAnsi"/>
          <w:sz w:val="18"/>
          <w:szCs w:val="18"/>
        </w:rPr>
        <w:t xml:space="preserve"> consists of the specialized agencies, </w:t>
      </w:r>
      <w:proofErr w:type="spellStart"/>
      <w:r w:rsidRPr="00694A6E">
        <w:rPr>
          <w:rFonts w:asciiTheme="majorHAnsi" w:hAnsiTheme="majorHAnsi"/>
          <w:sz w:val="18"/>
          <w:szCs w:val="18"/>
        </w:rPr>
        <w:t>programmes</w:t>
      </w:r>
      <w:proofErr w:type="spellEnd"/>
      <w:r w:rsidRPr="00694A6E">
        <w:rPr>
          <w:rFonts w:asciiTheme="majorHAnsi" w:hAnsiTheme="majorHAnsi"/>
          <w:sz w:val="18"/>
          <w:szCs w:val="18"/>
        </w:rPr>
        <w:t xml:space="preserve"> and organs of the United Nations including the secretariats of the Multilateral Environmental Agreements. It is chaired by the Executive Director of United Nations Environment </w:t>
      </w:r>
      <w:proofErr w:type="spellStart"/>
      <w:r w:rsidRPr="00694A6E">
        <w:rPr>
          <w:rFonts w:asciiTheme="majorHAnsi" w:hAnsiTheme="majorHAnsi"/>
          <w:sz w:val="18"/>
          <w:szCs w:val="18"/>
        </w:rPr>
        <w:t>Programme</w:t>
      </w:r>
      <w:proofErr w:type="spellEnd"/>
      <w:r w:rsidRPr="00694A6E">
        <w:rPr>
          <w:rFonts w:asciiTheme="majorHAnsi" w:hAnsiTheme="majorHAnsi"/>
          <w:sz w:val="18"/>
          <w:szCs w:val="18"/>
        </w:rPr>
        <w:t xml:space="preserve"> (UNEP) and supported by a secretariat provided by UNEP.</w:t>
      </w:r>
    </w:p>
  </w:footnote>
  <w:footnote w:id="2">
    <w:p w:rsidR="00383376" w:rsidRPr="0036651B" w:rsidRDefault="00383376" w:rsidP="00383376">
      <w:pPr>
        <w:pStyle w:val="Default"/>
        <w:rPr>
          <w:rFonts w:ascii="Times New Roman" w:hAnsi="Times New Roman" w:cs="Times New Roman"/>
          <w:sz w:val="16"/>
          <w:szCs w:val="16"/>
        </w:rPr>
      </w:pPr>
      <w:r w:rsidRPr="0036651B">
        <w:rPr>
          <w:rStyle w:val="FootnoteReference"/>
          <w:rFonts w:ascii="Times New Roman" w:hAnsi="Times New Roman" w:cs="Times New Roman"/>
          <w:sz w:val="16"/>
          <w:szCs w:val="16"/>
        </w:rPr>
        <w:footnoteRef/>
      </w:r>
      <w:r w:rsidRPr="0036651B">
        <w:rPr>
          <w:rFonts w:ascii="Times New Roman" w:hAnsi="Times New Roman" w:cs="Times New Roman"/>
          <w:sz w:val="16"/>
          <w:szCs w:val="16"/>
        </w:rPr>
        <w:t xml:space="preserve"> GEF’s minimum safeguard standards are derived from World Bank safeguard policies, and the World Bank already has a best-practice accountability system, the Secretariat recommends that the Council note that the Bank already meets the proposed minimum standards.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F74" w:rsidRDefault="00447F74" w:rsidP="00A60A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5CFC"/>
    <w:multiLevelType w:val="hybridMultilevel"/>
    <w:tmpl w:val="53E4A232"/>
    <w:lvl w:ilvl="0" w:tplc="04090001">
      <w:start w:val="1"/>
      <w:numFmt w:val="bullet"/>
      <w:lvlText w:val=""/>
      <w:lvlJc w:val="left"/>
      <w:pPr>
        <w:ind w:left="720" w:hanging="360"/>
      </w:pPr>
      <w:rPr>
        <w:rFonts w:ascii="Symbol" w:hAnsi="Symbol" w:hint="default"/>
      </w:rPr>
    </w:lvl>
    <w:lvl w:ilvl="1" w:tplc="C43A795A">
      <w:numFmt w:val="bullet"/>
      <w:lvlText w:val="•"/>
      <w:lvlJc w:val="left"/>
      <w:pPr>
        <w:ind w:left="1440" w:hanging="36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42D8D"/>
    <w:multiLevelType w:val="hybridMultilevel"/>
    <w:tmpl w:val="83D638C4"/>
    <w:lvl w:ilvl="0" w:tplc="07A81A76">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CB85A84"/>
    <w:multiLevelType w:val="hybridMultilevel"/>
    <w:tmpl w:val="434E64BA"/>
    <w:lvl w:ilvl="0" w:tplc="A810E1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30B1F"/>
    <w:multiLevelType w:val="hybridMultilevel"/>
    <w:tmpl w:val="BF640C16"/>
    <w:lvl w:ilvl="0" w:tplc="07A81A76">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6B961B66"/>
    <w:multiLevelType w:val="hybridMultilevel"/>
    <w:tmpl w:val="95125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74"/>
    <w:rsid w:val="000530C0"/>
    <w:rsid w:val="00057868"/>
    <w:rsid w:val="00082DE3"/>
    <w:rsid w:val="00173889"/>
    <w:rsid w:val="0018113A"/>
    <w:rsid w:val="001A6BE9"/>
    <w:rsid w:val="002055DE"/>
    <w:rsid w:val="002C3CFF"/>
    <w:rsid w:val="002E2B48"/>
    <w:rsid w:val="002F2E14"/>
    <w:rsid w:val="00310B17"/>
    <w:rsid w:val="00383376"/>
    <w:rsid w:val="003F48AC"/>
    <w:rsid w:val="00447F74"/>
    <w:rsid w:val="004932B4"/>
    <w:rsid w:val="004A7A25"/>
    <w:rsid w:val="004C5BA4"/>
    <w:rsid w:val="004C6193"/>
    <w:rsid w:val="004C785D"/>
    <w:rsid w:val="005315BF"/>
    <w:rsid w:val="005A21E7"/>
    <w:rsid w:val="0060210D"/>
    <w:rsid w:val="00672A18"/>
    <w:rsid w:val="00694DE7"/>
    <w:rsid w:val="006A55C0"/>
    <w:rsid w:val="006E721F"/>
    <w:rsid w:val="00721D9E"/>
    <w:rsid w:val="00735C3E"/>
    <w:rsid w:val="00755FFA"/>
    <w:rsid w:val="007D15AE"/>
    <w:rsid w:val="007F15DE"/>
    <w:rsid w:val="00811A57"/>
    <w:rsid w:val="00813ECE"/>
    <w:rsid w:val="0082751A"/>
    <w:rsid w:val="00870A93"/>
    <w:rsid w:val="0087771A"/>
    <w:rsid w:val="008869B1"/>
    <w:rsid w:val="00896DF0"/>
    <w:rsid w:val="008A2289"/>
    <w:rsid w:val="008A69BB"/>
    <w:rsid w:val="009A3D67"/>
    <w:rsid w:val="00A3648D"/>
    <w:rsid w:val="00A54586"/>
    <w:rsid w:val="00A84D50"/>
    <w:rsid w:val="00A90F81"/>
    <w:rsid w:val="00AB17C5"/>
    <w:rsid w:val="00AC6C4B"/>
    <w:rsid w:val="00B02E23"/>
    <w:rsid w:val="00B67457"/>
    <w:rsid w:val="00BB5B62"/>
    <w:rsid w:val="00C06506"/>
    <w:rsid w:val="00C513D1"/>
    <w:rsid w:val="00C7373D"/>
    <w:rsid w:val="00C831ED"/>
    <w:rsid w:val="00CB31F4"/>
    <w:rsid w:val="00D210A3"/>
    <w:rsid w:val="00D37E9C"/>
    <w:rsid w:val="00D56A32"/>
    <w:rsid w:val="00D812DA"/>
    <w:rsid w:val="00DC44B5"/>
    <w:rsid w:val="00DD328C"/>
    <w:rsid w:val="00E013FA"/>
    <w:rsid w:val="00E55383"/>
    <w:rsid w:val="00E77965"/>
    <w:rsid w:val="00E854B2"/>
    <w:rsid w:val="00EA29F0"/>
    <w:rsid w:val="00F275AC"/>
    <w:rsid w:val="00F448E1"/>
    <w:rsid w:val="00F6614C"/>
    <w:rsid w:val="00FC109F"/>
    <w:rsid w:val="00FD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74"/>
    <w:rPr>
      <w:rFonts w:ascii="Calibri" w:eastAsia="Calibri" w:hAnsi="Calibri" w:cs="Times New Roman"/>
    </w:rPr>
  </w:style>
  <w:style w:type="paragraph" w:styleId="Heading1">
    <w:name w:val="heading 1"/>
    <w:basedOn w:val="Normal"/>
    <w:next w:val="Normal"/>
    <w:link w:val="Heading1Char"/>
    <w:uiPriority w:val="9"/>
    <w:qFormat/>
    <w:rsid w:val="00447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F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99"/>
    <w:qFormat/>
    <w:rsid w:val="00447F74"/>
    <w:pPr>
      <w:ind w:left="720"/>
      <w:contextualSpacing/>
    </w:pPr>
  </w:style>
  <w:style w:type="paragraph" w:styleId="FootnoteText">
    <w:name w:val="footnote text"/>
    <w:aliases w:val="fn,footnote text,Footnote Text Char Char Char Char Char,Footnote Text Char Char Char Char,Footnotes,Geneva 9,Font: Geneva 9,Boston 10,f"/>
    <w:basedOn w:val="Normal"/>
    <w:link w:val="FootnoteTextChar"/>
    <w:uiPriority w:val="99"/>
    <w:unhideWhenUsed/>
    <w:rsid w:val="00447F74"/>
    <w:pPr>
      <w:spacing w:after="0" w:line="240" w:lineRule="auto"/>
    </w:pPr>
    <w:rPr>
      <w:sz w:val="20"/>
      <w:szCs w:val="20"/>
    </w:rPr>
  </w:style>
  <w:style w:type="character" w:customStyle="1" w:styleId="FootnoteTextChar">
    <w:name w:val="Footnote Text Char"/>
    <w:aliases w:val="fn Char,footnote text Char,Footnote Text Char Char Char Char Char Char,Footnote Text Char Char Char Char Char1,Footnotes Char,Geneva 9 Char,Font: Geneva 9 Char,Boston 10 Char,f Char"/>
    <w:basedOn w:val="DefaultParagraphFont"/>
    <w:link w:val="FootnoteText"/>
    <w:uiPriority w:val="99"/>
    <w:rsid w:val="00447F74"/>
    <w:rPr>
      <w:rFonts w:ascii="Calibri" w:eastAsia="Calibri" w:hAnsi="Calibri" w:cs="Times New Roman"/>
      <w:sz w:val="20"/>
      <w:szCs w:val="20"/>
    </w:rPr>
  </w:style>
  <w:style w:type="character" w:styleId="FootnoteReference">
    <w:name w:val="footnote reference"/>
    <w:aliases w:val="ftref,16 Point,Superscript 6 Point"/>
    <w:basedOn w:val="DefaultParagraphFont"/>
    <w:uiPriority w:val="99"/>
    <w:unhideWhenUsed/>
    <w:rsid w:val="00447F74"/>
    <w:rPr>
      <w:vertAlign w:val="superscript"/>
    </w:rPr>
  </w:style>
  <w:style w:type="character" w:styleId="Hyperlink">
    <w:name w:val="Hyperlink"/>
    <w:basedOn w:val="DefaultParagraphFont"/>
    <w:uiPriority w:val="99"/>
    <w:unhideWhenUsed/>
    <w:rsid w:val="00447F74"/>
    <w:rPr>
      <w:color w:val="0000FF"/>
      <w:u w:val="single"/>
    </w:rPr>
  </w:style>
  <w:style w:type="character" w:styleId="Strong">
    <w:name w:val="Strong"/>
    <w:basedOn w:val="DefaultParagraphFont"/>
    <w:uiPriority w:val="22"/>
    <w:qFormat/>
    <w:rsid w:val="00447F74"/>
    <w:rPr>
      <w:b/>
      <w:bCs/>
    </w:rPr>
  </w:style>
  <w:style w:type="paragraph" w:styleId="NoSpacing">
    <w:name w:val="No Spacing"/>
    <w:link w:val="NoSpacingChar"/>
    <w:uiPriority w:val="1"/>
    <w:qFormat/>
    <w:rsid w:val="00447F74"/>
    <w:pPr>
      <w:spacing w:after="0" w:line="240" w:lineRule="auto"/>
    </w:pPr>
    <w:rPr>
      <w:rFonts w:ascii="Calibri" w:eastAsia="Calibri" w:hAnsi="Calibri" w:cs="Times New Roman"/>
    </w:rPr>
  </w:style>
  <w:style w:type="paragraph" w:customStyle="1" w:styleId="Default">
    <w:name w:val="Default"/>
    <w:rsid w:val="00447F74"/>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447F74"/>
    <w:rPr>
      <w:rFonts w:ascii="Calibri" w:eastAsia="Calibri" w:hAnsi="Calibri" w:cs="Times New Roman"/>
    </w:rPr>
  </w:style>
  <w:style w:type="character" w:customStyle="1" w:styleId="ListParagraphChar">
    <w:name w:val="List Paragraph Char"/>
    <w:link w:val="ListParagraph"/>
    <w:uiPriority w:val="99"/>
    <w:rsid w:val="00447F74"/>
    <w:rPr>
      <w:rFonts w:ascii="Calibri" w:eastAsia="Calibri" w:hAnsi="Calibri" w:cs="Times New Roman"/>
    </w:rPr>
  </w:style>
  <w:style w:type="paragraph" w:styleId="Header">
    <w:name w:val="header"/>
    <w:basedOn w:val="Normal"/>
    <w:link w:val="HeaderChar"/>
    <w:uiPriority w:val="99"/>
    <w:unhideWhenUsed/>
    <w:rsid w:val="0044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74"/>
    <w:rPr>
      <w:rFonts w:ascii="Calibri" w:eastAsia="Calibri" w:hAnsi="Calibri" w:cs="Times New Roman"/>
    </w:rPr>
  </w:style>
  <w:style w:type="paragraph" w:styleId="Footer">
    <w:name w:val="footer"/>
    <w:basedOn w:val="Normal"/>
    <w:link w:val="FooterChar"/>
    <w:uiPriority w:val="99"/>
    <w:unhideWhenUsed/>
    <w:rsid w:val="0044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74"/>
    <w:rPr>
      <w:rFonts w:ascii="Calibri" w:eastAsia="Calibri" w:hAnsi="Calibri" w:cs="Times New Roman"/>
    </w:rPr>
  </w:style>
  <w:style w:type="table" w:styleId="TableGrid">
    <w:name w:val="Table Grid"/>
    <w:basedOn w:val="TableNormal"/>
    <w:uiPriority w:val="59"/>
    <w:rsid w:val="00447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447F74"/>
    <w:pPr>
      <w:spacing w:line="240" w:lineRule="auto"/>
      <w:ind w:left="720"/>
    </w:pPr>
    <w:rPr>
      <w:rFonts w:ascii="Cambria" w:hAnsi="Cambria" w:cs="Cambria"/>
      <w:sz w:val="24"/>
      <w:szCs w:val="24"/>
    </w:rPr>
  </w:style>
  <w:style w:type="paragraph" w:styleId="Title">
    <w:name w:val="Title"/>
    <w:basedOn w:val="Normal"/>
    <w:next w:val="Normal"/>
    <w:link w:val="TitleChar"/>
    <w:uiPriority w:val="10"/>
    <w:qFormat/>
    <w:rsid w:val="00447F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F74"/>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60210D"/>
    <w:rPr>
      <w:sz w:val="16"/>
      <w:szCs w:val="16"/>
    </w:rPr>
  </w:style>
  <w:style w:type="paragraph" w:styleId="CommentText">
    <w:name w:val="annotation text"/>
    <w:basedOn w:val="Normal"/>
    <w:link w:val="CommentTextChar"/>
    <w:uiPriority w:val="99"/>
    <w:semiHidden/>
    <w:unhideWhenUsed/>
    <w:rsid w:val="0060210D"/>
    <w:pPr>
      <w:spacing w:line="240" w:lineRule="auto"/>
    </w:pPr>
    <w:rPr>
      <w:sz w:val="20"/>
      <w:szCs w:val="20"/>
    </w:rPr>
  </w:style>
  <w:style w:type="character" w:customStyle="1" w:styleId="CommentTextChar">
    <w:name w:val="Comment Text Char"/>
    <w:basedOn w:val="DefaultParagraphFont"/>
    <w:link w:val="CommentText"/>
    <w:uiPriority w:val="99"/>
    <w:semiHidden/>
    <w:rsid w:val="0060210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210D"/>
    <w:rPr>
      <w:b/>
      <w:bCs/>
    </w:rPr>
  </w:style>
  <w:style w:type="character" w:customStyle="1" w:styleId="CommentSubjectChar">
    <w:name w:val="Comment Subject Char"/>
    <w:basedOn w:val="CommentTextChar"/>
    <w:link w:val="CommentSubject"/>
    <w:uiPriority w:val="99"/>
    <w:semiHidden/>
    <w:rsid w:val="0060210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02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10D"/>
    <w:rPr>
      <w:rFonts w:ascii="Tahoma" w:eastAsia="Calibri" w:hAnsi="Tahoma" w:cs="Tahoma"/>
      <w:sz w:val="16"/>
      <w:szCs w:val="16"/>
    </w:rPr>
  </w:style>
  <w:style w:type="character" w:styleId="FollowedHyperlink">
    <w:name w:val="FollowedHyperlink"/>
    <w:basedOn w:val="DefaultParagraphFont"/>
    <w:uiPriority w:val="99"/>
    <w:semiHidden/>
    <w:unhideWhenUsed/>
    <w:rsid w:val="00B674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74"/>
    <w:rPr>
      <w:rFonts w:ascii="Calibri" w:eastAsia="Calibri" w:hAnsi="Calibri" w:cs="Times New Roman"/>
    </w:rPr>
  </w:style>
  <w:style w:type="paragraph" w:styleId="Heading1">
    <w:name w:val="heading 1"/>
    <w:basedOn w:val="Normal"/>
    <w:next w:val="Normal"/>
    <w:link w:val="Heading1Char"/>
    <w:uiPriority w:val="9"/>
    <w:qFormat/>
    <w:rsid w:val="00447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F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99"/>
    <w:qFormat/>
    <w:rsid w:val="00447F74"/>
    <w:pPr>
      <w:ind w:left="720"/>
      <w:contextualSpacing/>
    </w:pPr>
  </w:style>
  <w:style w:type="paragraph" w:styleId="FootnoteText">
    <w:name w:val="footnote text"/>
    <w:aliases w:val="fn,footnote text,Footnote Text Char Char Char Char Char,Footnote Text Char Char Char Char,Footnotes,Geneva 9,Font: Geneva 9,Boston 10,f"/>
    <w:basedOn w:val="Normal"/>
    <w:link w:val="FootnoteTextChar"/>
    <w:uiPriority w:val="99"/>
    <w:unhideWhenUsed/>
    <w:rsid w:val="00447F74"/>
    <w:pPr>
      <w:spacing w:after="0" w:line="240" w:lineRule="auto"/>
    </w:pPr>
    <w:rPr>
      <w:sz w:val="20"/>
      <w:szCs w:val="20"/>
    </w:rPr>
  </w:style>
  <w:style w:type="character" w:customStyle="1" w:styleId="FootnoteTextChar">
    <w:name w:val="Footnote Text Char"/>
    <w:aliases w:val="fn Char,footnote text Char,Footnote Text Char Char Char Char Char Char,Footnote Text Char Char Char Char Char1,Footnotes Char,Geneva 9 Char,Font: Geneva 9 Char,Boston 10 Char,f Char"/>
    <w:basedOn w:val="DefaultParagraphFont"/>
    <w:link w:val="FootnoteText"/>
    <w:uiPriority w:val="99"/>
    <w:rsid w:val="00447F74"/>
    <w:rPr>
      <w:rFonts w:ascii="Calibri" w:eastAsia="Calibri" w:hAnsi="Calibri" w:cs="Times New Roman"/>
      <w:sz w:val="20"/>
      <w:szCs w:val="20"/>
    </w:rPr>
  </w:style>
  <w:style w:type="character" w:styleId="FootnoteReference">
    <w:name w:val="footnote reference"/>
    <w:aliases w:val="ftref,16 Point,Superscript 6 Point"/>
    <w:basedOn w:val="DefaultParagraphFont"/>
    <w:uiPriority w:val="99"/>
    <w:unhideWhenUsed/>
    <w:rsid w:val="00447F74"/>
    <w:rPr>
      <w:vertAlign w:val="superscript"/>
    </w:rPr>
  </w:style>
  <w:style w:type="character" w:styleId="Hyperlink">
    <w:name w:val="Hyperlink"/>
    <w:basedOn w:val="DefaultParagraphFont"/>
    <w:uiPriority w:val="99"/>
    <w:unhideWhenUsed/>
    <w:rsid w:val="00447F74"/>
    <w:rPr>
      <w:color w:val="0000FF"/>
      <w:u w:val="single"/>
    </w:rPr>
  </w:style>
  <w:style w:type="character" w:styleId="Strong">
    <w:name w:val="Strong"/>
    <w:basedOn w:val="DefaultParagraphFont"/>
    <w:uiPriority w:val="22"/>
    <w:qFormat/>
    <w:rsid w:val="00447F74"/>
    <w:rPr>
      <w:b/>
      <w:bCs/>
    </w:rPr>
  </w:style>
  <w:style w:type="paragraph" w:styleId="NoSpacing">
    <w:name w:val="No Spacing"/>
    <w:link w:val="NoSpacingChar"/>
    <w:uiPriority w:val="1"/>
    <w:qFormat/>
    <w:rsid w:val="00447F74"/>
    <w:pPr>
      <w:spacing w:after="0" w:line="240" w:lineRule="auto"/>
    </w:pPr>
    <w:rPr>
      <w:rFonts w:ascii="Calibri" w:eastAsia="Calibri" w:hAnsi="Calibri" w:cs="Times New Roman"/>
    </w:rPr>
  </w:style>
  <w:style w:type="paragraph" w:customStyle="1" w:styleId="Default">
    <w:name w:val="Default"/>
    <w:rsid w:val="00447F74"/>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447F74"/>
    <w:rPr>
      <w:rFonts w:ascii="Calibri" w:eastAsia="Calibri" w:hAnsi="Calibri" w:cs="Times New Roman"/>
    </w:rPr>
  </w:style>
  <w:style w:type="character" w:customStyle="1" w:styleId="ListParagraphChar">
    <w:name w:val="List Paragraph Char"/>
    <w:link w:val="ListParagraph"/>
    <w:uiPriority w:val="99"/>
    <w:rsid w:val="00447F74"/>
    <w:rPr>
      <w:rFonts w:ascii="Calibri" w:eastAsia="Calibri" w:hAnsi="Calibri" w:cs="Times New Roman"/>
    </w:rPr>
  </w:style>
  <w:style w:type="paragraph" w:styleId="Header">
    <w:name w:val="header"/>
    <w:basedOn w:val="Normal"/>
    <w:link w:val="HeaderChar"/>
    <w:uiPriority w:val="99"/>
    <w:unhideWhenUsed/>
    <w:rsid w:val="0044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74"/>
    <w:rPr>
      <w:rFonts w:ascii="Calibri" w:eastAsia="Calibri" w:hAnsi="Calibri" w:cs="Times New Roman"/>
    </w:rPr>
  </w:style>
  <w:style w:type="paragraph" w:styleId="Footer">
    <w:name w:val="footer"/>
    <w:basedOn w:val="Normal"/>
    <w:link w:val="FooterChar"/>
    <w:uiPriority w:val="99"/>
    <w:unhideWhenUsed/>
    <w:rsid w:val="0044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74"/>
    <w:rPr>
      <w:rFonts w:ascii="Calibri" w:eastAsia="Calibri" w:hAnsi="Calibri" w:cs="Times New Roman"/>
    </w:rPr>
  </w:style>
  <w:style w:type="table" w:styleId="TableGrid">
    <w:name w:val="Table Grid"/>
    <w:basedOn w:val="TableNormal"/>
    <w:uiPriority w:val="59"/>
    <w:rsid w:val="00447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447F74"/>
    <w:pPr>
      <w:spacing w:line="240" w:lineRule="auto"/>
      <w:ind w:left="720"/>
    </w:pPr>
    <w:rPr>
      <w:rFonts w:ascii="Cambria" w:hAnsi="Cambria" w:cs="Cambria"/>
      <w:sz w:val="24"/>
      <w:szCs w:val="24"/>
    </w:rPr>
  </w:style>
  <w:style w:type="paragraph" w:styleId="Title">
    <w:name w:val="Title"/>
    <w:basedOn w:val="Normal"/>
    <w:next w:val="Normal"/>
    <w:link w:val="TitleChar"/>
    <w:uiPriority w:val="10"/>
    <w:qFormat/>
    <w:rsid w:val="00447F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F74"/>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60210D"/>
    <w:rPr>
      <w:sz w:val="16"/>
      <w:szCs w:val="16"/>
    </w:rPr>
  </w:style>
  <w:style w:type="paragraph" w:styleId="CommentText">
    <w:name w:val="annotation text"/>
    <w:basedOn w:val="Normal"/>
    <w:link w:val="CommentTextChar"/>
    <w:uiPriority w:val="99"/>
    <w:semiHidden/>
    <w:unhideWhenUsed/>
    <w:rsid w:val="0060210D"/>
    <w:pPr>
      <w:spacing w:line="240" w:lineRule="auto"/>
    </w:pPr>
    <w:rPr>
      <w:sz w:val="20"/>
      <w:szCs w:val="20"/>
    </w:rPr>
  </w:style>
  <w:style w:type="character" w:customStyle="1" w:styleId="CommentTextChar">
    <w:name w:val="Comment Text Char"/>
    <w:basedOn w:val="DefaultParagraphFont"/>
    <w:link w:val="CommentText"/>
    <w:uiPriority w:val="99"/>
    <w:semiHidden/>
    <w:rsid w:val="0060210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210D"/>
    <w:rPr>
      <w:b/>
      <w:bCs/>
    </w:rPr>
  </w:style>
  <w:style w:type="character" w:customStyle="1" w:styleId="CommentSubjectChar">
    <w:name w:val="Comment Subject Char"/>
    <w:basedOn w:val="CommentTextChar"/>
    <w:link w:val="CommentSubject"/>
    <w:uiPriority w:val="99"/>
    <w:semiHidden/>
    <w:rsid w:val="0060210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02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10D"/>
    <w:rPr>
      <w:rFonts w:ascii="Tahoma" w:eastAsia="Calibri" w:hAnsi="Tahoma" w:cs="Tahoma"/>
      <w:sz w:val="16"/>
      <w:szCs w:val="16"/>
    </w:rPr>
  </w:style>
  <w:style w:type="character" w:styleId="FollowedHyperlink">
    <w:name w:val="FollowedHyperlink"/>
    <w:basedOn w:val="DefaultParagraphFont"/>
    <w:uiPriority w:val="99"/>
    <w:semiHidden/>
    <w:unhideWhenUsed/>
    <w:rsid w:val="00B67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ocument/18/0,3343,en_2649_3236398_35401554_1_1_1_1,00.html" TargetMode="External"/><Relationship Id="rId13" Type="http://schemas.openxmlformats.org/officeDocument/2006/relationships/hyperlink" Target="http://unfccc.int/files/meetings/durban_nov_2011/decisions/application/pdf/cop17_gcf.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hegef.org/gef/sites/thegef.org/files/documents/C.41.10.Rev_1.Policy_on_Environmental_and_Social_Safeguards.Final%20of%20Nov%201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carbonpartnership.org/fcp/sites/forestcarbonpartnership.org/files/Documents/PDF/Aug2012/FCPF%20Readiness%20Fund%20Common%20Approach%208-9-1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nemg.org/Portals/27/Cooperation/EnvironmentalandSocialSustainability/report/tabid/79637/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emg.org/LinkClick.aspx?link=1149&amp;tabid=1120&amp;language=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Laughlin</dc:creator>
  <cp:lastModifiedBy>Jennifer Laughlin</cp:lastModifiedBy>
  <cp:revision>3</cp:revision>
  <dcterms:created xsi:type="dcterms:W3CDTF">2012-09-04T17:28:00Z</dcterms:created>
  <dcterms:modified xsi:type="dcterms:W3CDTF">2012-09-04T17:28:00Z</dcterms:modified>
</cp:coreProperties>
</file>