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8F53" w14:textId="77777777" w:rsidR="00334D6D" w:rsidRPr="0000499F" w:rsidRDefault="005B771E" w:rsidP="005B771E">
      <w:pPr>
        <w:pStyle w:val="Body"/>
        <w:tabs>
          <w:tab w:val="left" w:pos="4080"/>
        </w:tabs>
        <w:jc w:val="both"/>
        <w:rPr>
          <w:rFonts w:ascii="Calibri" w:eastAsia="Calibri" w:hAnsi="Calibri" w:cs="Calibri"/>
          <w:u w:color="000000"/>
          <w:lang w:val="en-US"/>
        </w:rPr>
      </w:pPr>
      <w:r w:rsidRPr="0000499F">
        <w:rPr>
          <w:rFonts w:ascii="Calibri" w:eastAsia="Calibri" w:hAnsi="Calibri" w:cs="Calibri"/>
          <w:u w:color="000000"/>
          <w:lang w:val="en-US"/>
        </w:rPr>
        <w:tab/>
      </w:r>
    </w:p>
    <w:p w14:paraId="7CD953C4" w14:textId="77777777" w:rsidR="00334D6D" w:rsidRPr="0000499F" w:rsidRDefault="004C5E64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Calibri" w:hAnsi="Calibri" w:cs="Calibri"/>
          <w:b/>
          <w:bCs/>
          <w:u w:color="000000"/>
          <w:lang w:val="en-GB"/>
        </w:rPr>
      </w:pPr>
      <w:r w:rsidRPr="0000499F">
        <w:rPr>
          <w:rFonts w:ascii="Calibri" w:eastAsia="Calibri" w:hAnsi="Calibri" w:cs="Calibri"/>
          <w:b/>
          <w:bCs/>
          <w:u w:color="000000"/>
          <w:lang w:val="en-GB"/>
        </w:rPr>
        <w:t>UN-REDD Programme</w:t>
      </w:r>
    </w:p>
    <w:p w14:paraId="386F86A2" w14:textId="565B29C4" w:rsidR="005B771E" w:rsidRPr="0000499F" w:rsidRDefault="000314A8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b/>
          <w:bCs/>
          <w:u w:color="000000"/>
          <w:lang w:val="en-GB"/>
        </w:rPr>
      </w:pPr>
      <w:r w:rsidRPr="0000499F">
        <w:rPr>
          <w:rFonts w:ascii="Calibri" w:eastAsia="Calibri" w:hAnsi="Calibri" w:cs="Calibri"/>
          <w:b/>
          <w:bCs/>
          <w:u w:color="000000"/>
          <w:lang w:val="en-GB"/>
        </w:rPr>
        <w:t>UN-REDD/EB2</w:t>
      </w:r>
      <w:r w:rsidR="009F2FF8">
        <w:rPr>
          <w:rFonts w:ascii="Calibri" w:eastAsia="Calibri" w:hAnsi="Calibri" w:cs="Calibri"/>
          <w:b/>
          <w:bCs/>
          <w:u w:color="000000"/>
          <w:lang w:val="en-GB"/>
        </w:rPr>
        <w:t>/9</w:t>
      </w:r>
    </w:p>
    <w:p w14:paraId="298CB537" w14:textId="77777777" w:rsidR="005B771E" w:rsidRPr="0000499F" w:rsidRDefault="005B771E">
      <w:pPr>
        <w:pStyle w:val="Body"/>
        <w:rPr>
          <w:rFonts w:ascii="Calibri" w:eastAsia="Calibri" w:hAnsi="Calibri" w:cs="Calibri"/>
          <w:b/>
          <w:bCs/>
          <w:u w:color="000000"/>
          <w:lang w:val="en-GB"/>
        </w:rPr>
      </w:pPr>
    </w:p>
    <w:p w14:paraId="1610D9F2" w14:textId="0CC97C6A" w:rsidR="00334D6D" w:rsidRPr="0000499F" w:rsidRDefault="00595818">
      <w:pPr>
        <w:pStyle w:val="Body"/>
        <w:rPr>
          <w:rFonts w:ascii="Calibri" w:eastAsia="Calibri" w:hAnsi="Calibri" w:cs="Calibri"/>
          <w:b/>
          <w:bCs/>
          <w:smallCaps/>
          <w:u w:color="000000"/>
        </w:rPr>
      </w:pP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Second</w:t>
      </w:r>
      <w:r w:rsidR="004C5E64"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 Executive Board meeting</w:t>
      </w:r>
    </w:p>
    <w:p w14:paraId="1F85E006" w14:textId="77777777" w:rsidR="00334D6D" w:rsidRPr="0000499F" w:rsidRDefault="004C5E64">
      <w:pPr>
        <w:pStyle w:val="Body"/>
        <w:rPr>
          <w:rFonts w:ascii="Calibri" w:eastAsia="Calibri" w:hAnsi="Calibri" w:cs="Calibri"/>
          <w:b/>
          <w:bCs/>
          <w:smallCaps/>
          <w:u w:color="000000"/>
        </w:rPr>
      </w:pP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Rome, Italy</w:t>
      </w:r>
    </w:p>
    <w:p w14:paraId="6DF0081D" w14:textId="2E405CE9" w:rsidR="00334D6D" w:rsidRPr="0000499F" w:rsidRDefault="004C5E64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n-US"/>
        </w:rPr>
      </w:pP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1</w:t>
      </w:r>
      <w:r w:rsidR="00595818"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8</w:t>
      </w: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-1</w:t>
      </w:r>
      <w:r w:rsidR="00595818"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9</w:t>
      </w: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 </w:t>
      </w:r>
      <w:r w:rsidR="00FF4432"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October</w:t>
      </w: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 201</w:t>
      </w:r>
      <w:r w:rsidR="00FF4432"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8</w:t>
      </w:r>
    </w:p>
    <w:p w14:paraId="2C743ABF" w14:textId="77777777" w:rsidR="005B771E" w:rsidRPr="0000499F" w:rsidRDefault="005B771E" w:rsidP="005B771E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  <w:lang w:val="en-US"/>
        </w:rPr>
      </w:pPr>
    </w:p>
    <w:p w14:paraId="2517D050" w14:textId="77777777" w:rsidR="0000499F" w:rsidRPr="0000499F" w:rsidRDefault="0000499F" w:rsidP="0000499F">
      <w:pPr>
        <w:pStyle w:val="Body"/>
        <w:spacing w:after="120"/>
        <w:jc w:val="center"/>
        <w:rPr>
          <w:rFonts w:ascii="Calibri" w:eastAsia="Calibri" w:hAnsi="Calibri" w:cs="Calibri"/>
          <w:b/>
          <w:bCs/>
          <w:smallCaps/>
          <w:u w:color="000000"/>
          <w:lang w:val="en-US"/>
        </w:rPr>
      </w:pP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Information Note</w:t>
      </w:r>
    </w:p>
    <w:p w14:paraId="01FE6EC2" w14:textId="4BDBDC94" w:rsidR="005B771E" w:rsidRPr="0000499F" w:rsidRDefault="0000499F" w:rsidP="005B771E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</w:rPr>
      </w:pP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>Background on</w:t>
      </w:r>
      <w:r w:rsidRPr="0000499F">
        <w:rPr>
          <w:rFonts w:ascii="Calibri" w:eastAsia="Calibri" w:hAnsi="Calibri" w:cs="Calibri"/>
          <w:b/>
          <w:bCs/>
          <w:smallCaps/>
          <w:u w:color="000000"/>
          <w:lang w:val="en-US"/>
        </w:rPr>
        <w:tab/>
        <w:t>REDD+ and Cooperative Approaches in Support of NDCs</w:t>
      </w:r>
    </w:p>
    <w:p w14:paraId="18EBB2E4" w14:textId="77777777" w:rsidR="00334D6D" w:rsidRPr="0000499F" w:rsidRDefault="00334D6D">
      <w:pPr>
        <w:pStyle w:val="Body"/>
        <w:rPr>
          <w:rFonts w:ascii="Calibri" w:eastAsia="Calibri" w:hAnsi="Calibri" w:cs="Calibri"/>
          <w:u w:color="000000"/>
        </w:rPr>
      </w:pPr>
    </w:p>
    <w:p w14:paraId="4916E9E2" w14:textId="77777777" w:rsidR="0000499F" w:rsidRPr="0000499F" w:rsidRDefault="0000499F" w:rsidP="0000499F">
      <w:pPr>
        <w:rPr>
          <w:rFonts w:ascii="Calibri" w:hAnsi="Calibri"/>
          <w:b/>
          <w:sz w:val="22"/>
          <w:szCs w:val="22"/>
        </w:rPr>
      </w:pPr>
    </w:p>
    <w:p w14:paraId="32DFD3F2" w14:textId="77777777" w:rsidR="0000499F" w:rsidRPr="0000499F" w:rsidRDefault="0000499F" w:rsidP="0000499F">
      <w:pPr>
        <w:rPr>
          <w:rFonts w:ascii="Calibri" w:hAnsi="Calibri"/>
          <w:b/>
          <w:sz w:val="22"/>
          <w:szCs w:val="22"/>
        </w:rPr>
      </w:pPr>
      <w:r w:rsidRPr="0000499F">
        <w:rPr>
          <w:rFonts w:ascii="Calibri" w:hAnsi="Calibri"/>
          <w:b/>
          <w:sz w:val="22"/>
          <w:szCs w:val="22"/>
        </w:rPr>
        <w:t xml:space="preserve">Session Objectives </w:t>
      </w:r>
    </w:p>
    <w:p w14:paraId="4FD2BB16" w14:textId="77777777" w:rsidR="0000499F" w:rsidRPr="0000499F" w:rsidRDefault="0000499F" w:rsidP="0000499F">
      <w:pPr>
        <w:rPr>
          <w:rFonts w:ascii="Calibri" w:hAnsi="Calibri"/>
          <w:b/>
          <w:sz w:val="22"/>
          <w:szCs w:val="22"/>
        </w:rPr>
      </w:pPr>
    </w:p>
    <w:p w14:paraId="62602277" w14:textId="77777777" w:rsidR="0000499F" w:rsidRPr="0000499F" w:rsidRDefault="0000499F" w:rsidP="0000499F">
      <w:pPr>
        <w:pStyle w:val="ListParagraph"/>
        <w:numPr>
          <w:ilvl w:val="0"/>
          <w:numId w:val="3"/>
        </w:numPr>
        <w:ind w:left="720"/>
        <w:rPr>
          <w:rFonts w:ascii="Calibri" w:hAnsi="Calibri"/>
          <w:lang w:val="en-GB"/>
        </w:rPr>
      </w:pPr>
      <w:r w:rsidRPr="0000499F">
        <w:rPr>
          <w:rFonts w:ascii="Calibri" w:hAnsi="Calibri"/>
          <w:lang w:val="en-GB"/>
        </w:rPr>
        <w:t>This knowledge session will present an overview of forests and REDD+ in the NDCs, as well as the current status of UNFCCC negotiations on Article 6.</w:t>
      </w:r>
    </w:p>
    <w:p w14:paraId="1D172984" w14:textId="77777777" w:rsidR="0000499F" w:rsidRPr="0000499F" w:rsidRDefault="0000499F" w:rsidP="0000499F">
      <w:pPr>
        <w:pStyle w:val="ListParagraph"/>
        <w:numPr>
          <w:ilvl w:val="0"/>
          <w:numId w:val="3"/>
        </w:numPr>
        <w:ind w:left="720"/>
        <w:rPr>
          <w:rFonts w:ascii="Calibri" w:hAnsi="Calibri"/>
          <w:lang w:val="en-GB"/>
        </w:rPr>
      </w:pPr>
      <w:r w:rsidRPr="0000499F">
        <w:rPr>
          <w:rFonts w:ascii="Calibri" w:hAnsi="Calibri"/>
          <w:lang w:val="en-GB"/>
        </w:rPr>
        <w:t>During the session, initial discussion will be promoted, on potential implications for REDD+, including, for example, complementarities between results-based finance and cooperative approaches, as well as options and issues for operationalizing potential transfer of ownership of emission reductions.</w:t>
      </w:r>
    </w:p>
    <w:p w14:paraId="1CA07137" w14:textId="77777777" w:rsidR="0000499F" w:rsidRPr="0000499F" w:rsidRDefault="0000499F" w:rsidP="0000499F">
      <w:pPr>
        <w:pStyle w:val="ListParagraph"/>
        <w:numPr>
          <w:ilvl w:val="0"/>
          <w:numId w:val="3"/>
        </w:numPr>
        <w:ind w:left="720"/>
        <w:rPr>
          <w:rFonts w:ascii="Calibri" w:hAnsi="Calibri"/>
          <w:lang w:val="en-GB"/>
        </w:rPr>
      </w:pPr>
      <w:r w:rsidRPr="0000499F">
        <w:rPr>
          <w:rFonts w:ascii="Calibri" w:hAnsi="Calibri"/>
          <w:lang w:val="en-GB"/>
        </w:rPr>
        <w:t>The session will provide a foundation for related discussions to continue in the sessions immediately following.</w:t>
      </w:r>
    </w:p>
    <w:p w14:paraId="522410AA" w14:textId="77777777" w:rsidR="0000499F" w:rsidRPr="0000499F" w:rsidRDefault="0000499F" w:rsidP="0000499F">
      <w:pPr>
        <w:rPr>
          <w:rFonts w:ascii="Calibri" w:hAnsi="Calibri"/>
          <w:b/>
          <w:sz w:val="22"/>
          <w:szCs w:val="22"/>
        </w:rPr>
      </w:pPr>
    </w:p>
    <w:p w14:paraId="4CA020C0" w14:textId="77777777" w:rsidR="0000499F" w:rsidRPr="0000499F" w:rsidRDefault="0000499F" w:rsidP="0000499F">
      <w:pPr>
        <w:rPr>
          <w:rFonts w:ascii="Calibri" w:hAnsi="Calibri"/>
          <w:b/>
          <w:sz w:val="22"/>
          <w:szCs w:val="22"/>
        </w:rPr>
      </w:pPr>
      <w:r w:rsidRPr="0000499F">
        <w:rPr>
          <w:rFonts w:ascii="Calibri" w:hAnsi="Calibri"/>
          <w:b/>
          <w:sz w:val="22"/>
          <w:szCs w:val="22"/>
        </w:rPr>
        <w:t>Introduction</w:t>
      </w:r>
    </w:p>
    <w:p w14:paraId="36153B2B" w14:textId="77777777" w:rsidR="0000499F" w:rsidRPr="0000499F" w:rsidRDefault="0000499F" w:rsidP="0000499F">
      <w:pPr>
        <w:rPr>
          <w:rFonts w:ascii="Calibri" w:hAnsi="Calibri"/>
          <w:b/>
          <w:sz w:val="22"/>
          <w:szCs w:val="22"/>
        </w:rPr>
      </w:pPr>
    </w:p>
    <w:p w14:paraId="678BBD28" w14:textId="77777777" w:rsidR="0000499F" w:rsidRPr="0000499F" w:rsidRDefault="0000499F" w:rsidP="0000499F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 xml:space="preserve">The land use sector, including forests, is represented in the majority of Nationally Determined Contributions (NDCs). 54% of countries included Land Use, Land-Use Change and Forestry (LULUCF) as part of an economy-wide target, while many more (approximately 77%) reference, in some way, a contribution to be made from LULUCF. </w:t>
      </w:r>
    </w:p>
    <w:p w14:paraId="76E48DE1" w14:textId="77777777" w:rsidR="0000499F" w:rsidRPr="0000499F" w:rsidRDefault="0000499F" w:rsidP="0000499F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>A number of REDD+ countries, in particular, highlight the key contribution to be made by forest-related activities to meet their NDC goals. Approaches range from inclusion of LULUCF in a multi-sectoral or economy-wide target, specific LULUCF targets, and/or specific indication of activities to be implemented as part of the NDC, such as REDD+, zero-deforestation agriculture, agroforestry or improved cook stoves.</w:t>
      </w:r>
    </w:p>
    <w:p w14:paraId="3923F596" w14:textId="77777777" w:rsidR="0000499F" w:rsidRPr="0000499F" w:rsidRDefault="0000499F" w:rsidP="0000499F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>Overall, the LULUCF sector represents 25% of planned emission reductions in current NDCs, making the role of LULUCF in the NDCs second only to the energy sector.</w:t>
      </w:r>
    </w:p>
    <w:p w14:paraId="33915748" w14:textId="2E46A817" w:rsidR="0000499F" w:rsidRPr="0000499F" w:rsidRDefault="0000499F" w:rsidP="0000499F">
      <w:pPr>
        <w:pStyle w:val="ListParagraph"/>
        <w:numPr>
          <w:ilvl w:val="0"/>
          <w:numId w:val="2"/>
        </w:numPr>
        <w:rPr>
          <w:rFonts w:ascii="Calibri" w:eastAsia="Times New Roman" w:hAnsi="Calibri" w:cstheme="majorHAnsi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>However, the potential to be harnessed is even greater, given that “natural climate solutions,” including</w:t>
      </w:r>
      <w:r w:rsidR="00D008A4">
        <w:rPr>
          <w:rFonts w:ascii="Calibri" w:eastAsia="Times New Roman" w:hAnsi="Calibri" w:cs="Times New Roman"/>
          <w:color w:val="000000"/>
          <w:lang w:val="en-CA"/>
        </w:rPr>
        <w:t xml:space="preserve"> forests, can deliver up to 30</w:t>
      </w:r>
      <w:bookmarkStart w:id="0" w:name="_GoBack"/>
      <w:bookmarkEnd w:id="0"/>
      <w:r w:rsidRPr="0000499F">
        <w:rPr>
          <w:rFonts w:ascii="Calibri" w:eastAsia="Times New Roman" w:hAnsi="Calibri" w:cs="Times New Roman"/>
          <w:color w:val="000000"/>
          <w:lang w:val="en-CA"/>
        </w:rPr>
        <w:t>% globally of cost-effective CO</w:t>
      </w:r>
      <w:r w:rsidRPr="0000499F">
        <w:rPr>
          <w:rFonts w:ascii="Calibri" w:eastAsia="Times New Roman" w:hAnsi="Calibri" w:cs="Times New Roman"/>
          <w:color w:val="000000"/>
          <w:vertAlign w:val="subscript"/>
          <w:lang w:val="en-CA"/>
        </w:rPr>
        <w:t>2</w:t>
      </w:r>
      <w:r w:rsidRPr="0000499F">
        <w:rPr>
          <w:rFonts w:ascii="Calibri" w:eastAsia="Times New Roman" w:hAnsi="Calibri" w:cs="Times New Roman"/>
          <w:color w:val="000000"/>
          <w:lang w:val="en-CA"/>
        </w:rPr>
        <w:t xml:space="preserve"> mitigation needed through 2030</w:t>
      </w:r>
      <w:r w:rsidRPr="0000499F">
        <w:rPr>
          <w:rFonts w:ascii="Calibri" w:hAnsi="Calibri"/>
          <w:lang w:val="en-GB"/>
        </w:rPr>
        <w:t xml:space="preserve"> </w:t>
      </w:r>
      <w:r w:rsidRPr="0000499F">
        <w:rPr>
          <w:rFonts w:ascii="Calibri" w:hAnsi="Calibri" w:cstheme="majorHAnsi"/>
          <w:lang w:val="en-GB"/>
        </w:rPr>
        <w:t xml:space="preserve">to keep </w:t>
      </w:r>
      <w:r w:rsidRPr="0000499F">
        <w:rPr>
          <w:rFonts w:ascii="Calibri" w:eastAsia="Times New Roman" w:hAnsi="Calibri" w:cstheme="majorHAnsi"/>
          <w:color w:val="000000"/>
          <w:lang w:val="en-CA"/>
        </w:rPr>
        <w:t xml:space="preserve">warming well below 2°C. </w:t>
      </w:r>
    </w:p>
    <w:p w14:paraId="69CE2C30" w14:textId="77777777" w:rsidR="0000499F" w:rsidRPr="0000499F" w:rsidRDefault="0000499F" w:rsidP="0000499F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>Article 6 of the Paris Agreement presents new opportunities for cooperation between Parties to enhance global climate change mitigation efforts toward meeting the long-term temperature goal, through the NDCs.</w:t>
      </w:r>
      <w:r w:rsidRPr="0000499F">
        <w:rPr>
          <w:rFonts w:ascii="Calibri" w:hAnsi="Calibri"/>
          <w:lang w:val="en-GB"/>
        </w:rPr>
        <w:t xml:space="preserve"> </w:t>
      </w:r>
      <w:r w:rsidRPr="0000499F">
        <w:rPr>
          <w:rFonts w:ascii="Calibri" w:eastAsia="Times New Roman" w:hAnsi="Calibri" w:cs="Times New Roman"/>
          <w:color w:val="000000"/>
          <w:lang w:val="en-CA"/>
        </w:rPr>
        <w:t>Article 6.2 of the Paris Agreement allows UNFCCC Parties to voluntarily engage in “cooperative approaches” involving the use of Internationally Transferred Mitigation Outcomes (ITMOs) towards NDCs, while Article 6.4 establishes a mechanism for greenhouse gas mitigation and fostering sustainable development.</w:t>
      </w:r>
    </w:p>
    <w:p w14:paraId="25820EC5" w14:textId="77777777" w:rsidR="0000499F" w:rsidRPr="0000499F" w:rsidRDefault="0000499F" w:rsidP="0000499F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>Considering UNFCCC negotiations on Article 6 are still under way, however, there are divergent views and uncertainty around the eligibility criteria, guidance, rules, procedures and institutional arrangements to be put into place.</w:t>
      </w:r>
    </w:p>
    <w:p w14:paraId="097D7389" w14:textId="77777777" w:rsidR="0000499F" w:rsidRPr="0000499F" w:rsidRDefault="0000499F" w:rsidP="0000499F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lastRenderedPageBreak/>
        <w:t xml:space="preserve">Though it is not yet </w:t>
      </w:r>
      <w:proofErr w:type="gramStart"/>
      <w:r w:rsidRPr="0000499F">
        <w:rPr>
          <w:rFonts w:ascii="Calibri" w:eastAsia="Times New Roman" w:hAnsi="Calibri" w:cs="Times New Roman"/>
          <w:color w:val="000000"/>
          <w:lang w:val="en-CA"/>
        </w:rPr>
        <w:t>clear</w:t>
      </w:r>
      <w:proofErr w:type="gramEnd"/>
      <w:r w:rsidRPr="0000499F">
        <w:rPr>
          <w:rFonts w:ascii="Calibri" w:eastAsia="Times New Roman" w:hAnsi="Calibri" w:cs="Times New Roman"/>
          <w:color w:val="000000"/>
          <w:lang w:val="en-CA"/>
        </w:rPr>
        <w:t>, therefore, if and how forests and/or REDD+ may be included in future cooperative approaches and/or the mechanism established under Art. 6.4, it is important to follow the Article 6 negotiations as they evolve, and consider the potential implications for REDD+, in the broader context of NDCs.</w:t>
      </w:r>
    </w:p>
    <w:p w14:paraId="2CC60BB0" w14:textId="77777777" w:rsidR="0000499F" w:rsidRPr="0000499F" w:rsidRDefault="0000499F" w:rsidP="0000499F">
      <w:pPr>
        <w:rPr>
          <w:rFonts w:ascii="Calibri" w:eastAsia="Times New Roman" w:hAnsi="Calibri"/>
          <w:b/>
          <w:color w:val="000000"/>
          <w:sz w:val="22"/>
          <w:szCs w:val="22"/>
          <w:lang w:val="en-CA"/>
        </w:rPr>
      </w:pPr>
      <w:r w:rsidRPr="0000499F">
        <w:rPr>
          <w:rFonts w:ascii="Calibri" w:eastAsia="Times New Roman" w:hAnsi="Calibri"/>
          <w:b/>
          <w:color w:val="000000"/>
          <w:sz w:val="22"/>
          <w:szCs w:val="22"/>
          <w:lang w:val="en-CA"/>
        </w:rPr>
        <w:t>Considerations for Forests and REDD+ in the Context of Article 6 and NDCs</w:t>
      </w:r>
    </w:p>
    <w:p w14:paraId="44BB2C43" w14:textId="77777777" w:rsidR="0000499F" w:rsidRPr="0000499F" w:rsidRDefault="0000499F" w:rsidP="0000499F">
      <w:pPr>
        <w:rPr>
          <w:rFonts w:ascii="Calibri" w:eastAsia="Times New Roman" w:hAnsi="Calibri"/>
          <w:b/>
          <w:color w:val="000000"/>
          <w:sz w:val="22"/>
          <w:szCs w:val="22"/>
          <w:lang w:val="en-CA"/>
        </w:rPr>
      </w:pPr>
    </w:p>
    <w:p w14:paraId="5B9DF190" w14:textId="77777777" w:rsidR="0000499F" w:rsidRPr="0000499F" w:rsidRDefault="0000499F" w:rsidP="0000499F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 xml:space="preserve">REDD+ forest reference levels and the corresponding results are developed in the context of seeking results-based payments in line with the UNFCCC framework. </w:t>
      </w:r>
    </w:p>
    <w:p w14:paraId="5548F861" w14:textId="77777777" w:rsidR="0000499F" w:rsidRPr="0000499F" w:rsidRDefault="0000499F" w:rsidP="0000499F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>Cooperative approaches and the Sustainable Development Mechanism (SDM) under Article 6 could complement results-based finance/results-based payments to provide an appropriate level of investment in forests in developing countries.</w:t>
      </w:r>
    </w:p>
    <w:p w14:paraId="6B6D7D9F" w14:textId="77777777" w:rsidR="0000499F" w:rsidRPr="0000499F" w:rsidRDefault="0000499F" w:rsidP="0000499F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>While the Warsaw Framework for REDD+, in Decision 14/CP.19, leaves the door open to “</w:t>
      </w:r>
      <w:r w:rsidRPr="0000499F">
        <w:rPr>
          <w:rFonts w:ascii="Calibri" w:eastAsia="Times New Roman" w:hAnsi="Calibri" w:cs="Times New Roman"/>
          <w:i/>
          <w:color w:val="000000"/>
          <w:lang w:val="en-CA"/>
        </w:rPr>
        <w:t>results-based actions that may be eligible to appropriate market-based approaches that could be developed by the Conference of the Parties to the UNFCCC</w:t>
      </w:r>
      <w:r w:rsidRPr="0000499F">
        <w:rPr>
          <w:rFonts w:ascii="Calibri" w:eastAsia="Times New Roman" w:hAnsi="Calibri" w:cs="Times New Roman"/>
          <w:color w:val="000000"/>
          <w:lang w:val="en-CA"/>
        </w:rPr>
        <w:t>”, it also recognizes that such actions “</w:t>
      </w:r>
      <w:r w:rsidRPr="0000499F">
        <w:rPr>
          <w:rFonts w:ascii="Calibri" w:eastAsia="Times New Roman" w:hAnsi="Calibri" w:cs="Times New Roman"/>
          <w:i/>
          <w:color w:val="000000"/>
          <w:lang w:val="en-CA"/>
        </w:rPr>
        <w:t>may be subject to any further specific modalities for verification consistent with any relevant decision of the Conference of the Parties</w:t>
      </w:r>
      <w:r w:rsidRPr="0000499F">
        <w:rPr>
          <w:rFonts w:ascii="Calibri" w:eastAsia="Times New Roman" w:hAnsi="Calibri" w:cs="Times New Roman"/>
          <w:color w:val="000000"/>
          <w:lang w:val="en-CA"/>
        </w:rPr>
        <w:t xml:space="preserve">”. </w:t>
      </w:r>
    </w:p>
    <w:p w14:paraId="62793B8A" w14:textId="77777777" w:rsidR="0000499F" w:rsidRPr="0000499F" w:rsidRDefault="0000499F" w:rsidP="0000499F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 xml:space="preserve">The Warsaw Framework, therefore, does not include the necessary rules and guidance that would be needed to enable the transfer of REDD+ emission reduction units in the context of UNFCCC. </w:t>
      </w:r>
    </w:p>
    <w:p w14:paraId="5FEE03DC" w14:textId="77777777" w:rsidR="0000499F" w:rsidRPr="0000499F" w:rsidRDefault="0000499F" w:rsidP="0000499F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CA"/>
        </w:rPr>
      </w:pPr>
      <w:r w:rsidRPr="0000499F">
        <w:rPr>
          <w:rFonts w:ascii="Calibri" w:eastAsia="Times New Roman" w:hAnsi="Calibri" w:cs="Times New Roman"/>
          <w:color w:val="000000"/>
          <w:lang w:val="en-CA"/>
        </w:rPr>
        <w:t>There are a number of strategic considerations to take into account in the context of potential Article 6 engagement. Unlike results-based payments in the context of UNFCCC, engaging in Article 6 is expected to have an impact on countries’ abilities to achieve their NDC targets/goals. Further, the relationship between the unconditional and conditional components of an NDC and ITMOs, as well as how this potentially relates to REDD+ under Article 6, are other issues which are useful to consider more closely.</w:t>
      </w:r>
    </w:p>
    <w:p w14:paraId="12C4B6AD" w14:textId="77777777" w:rsidR="003B64DA" w:rsidRPr="0000499F" w:rsidRDefault="003B64DA" w:rsidP="003B6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CA" w:eastAsia="en-AU"/>
        </w:rPr>
      </w:pPr>
    </w:p>
    <w:p w14:paraId="20EF7862" w14:textId="5FC64173" w:rsidR="00D17EA9" w:rsidRPr="0000499F" w:rsidRDefault="00D17EA9" w:rsidP="00D17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val="en-AU" w:eastAsia="en-AU"/>
        </w:rPr>
      </w:pPr>
      <w:r w:rsidRPr="0000499F">
        <w:rPr>
          <w:rFonts w:ascii="Calibri" w:hAnsi="Calibri" w:cs="Calibri"/>
          <w:color w:val="000000"/>
          <w:sz w:val="22"/>
          <w:szCs w:val="22"/>
          <w:lang w:val="en-AU" w:eastAsia="en-AU"/>
        </w:rPr>
        <w:t>*****</w:t>
      </w:r>
    </w:p>
    <w:p w14:paraId="1DEA1694" w14:textId="77777777" w:rsidR="00D17EA9" w:rsidRPr="0000499F" w:rsidRDefault="00D17EA9" w:rsidP="003B6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AU" w:eastAsia="en-AU"/>
        </w:rPr>
      </w:pPr>
    </w:p>
    <w:p w14:paraId="1FA0C31F" w14:textId="77777777" w:rsidR="003B64DA" w:rsidRPr="0000499F" w:rsidRDefault="003B64DA" w:rsidP="00CC04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u w:color="000000"/>
        </w:rPr>
      </w:pPr>
    </w:p>
    <w:sectPr w:rsidR="003B64DA" w:rsidRPr="0000499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C46871" w15:done="0"/>
  <w15:commentEx w15:paraId="0DA5AC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C06A9" w14:textId="77777777" w:rsidR="00AF5F5D" w:rsidRDefault="00AF5F5D">
      <w:r>
        <w:separator/>
      </w:r>
    </w:p>
  </w:endnote>
  <w:endnote w:type="continuationSeparator" w:id="0">
    <w:p w14:paraId="7059631F" w14:textId="77777777" w:rsidR="00AF5F5D" w:rsidRDefault="00AF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ADFD9" w14:textId="77777777" w:rsidR="00334D6D" w:rsidRDefault="00334D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C8337" w14:textId="77777777" w:rsidR="00AF5F5D" w:rsidRDefault="00AF5F5D">
      <w:r>
        <w:separator/>
      </w:r>
    </w:p>
  </w:footnote>
  <w:footnote w:type="continuationSeparator" w:id="0">
    <w:p w14:paraId="226E9DF7" w14:textId="77777777" w:rsidR="00AF5F5D" w:rsidRDefault="00AF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BC81" w14:textId="77777777" w:rsidR="00334D6D" w:rsidRDefault="00334D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C25"/>
    <w:multiLevelType w:val="hybridMultilevel"/>
    <w:tmpl w:val="5D804E24"/>
    <w:lvl w:ilvl="0" w:tplc="E53CE88C">
      <w:start w:val="6"/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F2519B"/>
    <w:multiLevelType w:val="hybridMultilevel"/>
    <w:tmpl w:val="E3A601DE"/>
    <w:lvl w:ilvl="0" w:tplc="39FE2CC4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225F9"/>
    <w:multiLevelType w:val="hybridMultilevel"/>
    <w:tmpl w:val="4E707A86"/>
    <w:lvl w:ilvl="0" w:tplc="E53CE88C">
      <w:start w:val="6"/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zkoBriggs, Malgorzata (FOA)">
    <w15:presenceInfo w15:providerId="AD" w15:userId="S-1-5-21-2107199734-1002509562-578033828-70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6D"/>
    <w:rsid w:val="0000499F"/>
    <w:rsid w:val="000116E8"/>
    <w:rsid w:val="000314A8"/>
    <w:rsid w:val="00035063"/>
    <w:rsid w:val="00132FF7"/>
    <w:rsid w:val="00192E33"/>
    <w:rsid w:val="00196880"/>
    <w:rsid w:val="002538CD"/>
    <w:rsid w:val="002C3225"/>
    <w:rsid w:val="002C34C6"/>
    <w:rsid w:val="002D2141"/>
    <w:rsid w:val="00334D6D"/>
    <w:rsid w:val="00335EA9"/>
    <w:rsid w:val="003B64DA"/>
    <w:rsid w:val="00482DD9"/>
    <w:rsid w:val="004A58A3"/>
    <w:rsid w:val="004C5E64"/>
    <w:rsid w:val="00595818"/>
    <w:rsid w:val="005B771E"/>
    <w:rsid w:val="00646E2B"/>
    <w:rsid w:val="00691C2C"/>
    <w:rsid w:val="0073142D"/>
    <w:rsid w:val="00741A8F"/>
    <w:rsid w:val="00774FB1"/>
    <w:rsid w:val="00801D89"/>
    <w:rsid w:val="0082062F"/>
    <w:rsid w:val="008A2A32"/>
    <w:rsid w:val="008F2BAF"/>
    <w:rsid w:val="009504B1"/>
    <w:rsid w:val="009F2FF8"/>
    <w:rsid w:val="00A40D4B"/>
    <w:rsid w:val="00AF064C"/>
    <w:rsid w:val="00AF5F5D"/>
    <w:rsid w:val="00B23D59"/>
    <w:rsid w:val="00B36BCE"/>
    <w:rsid w:val="00B60311"/>
    <w:rsid w:val="00CC04A1"/>
    <w:rsid w:val="00D008A4"/>
    <w:rsid w:val="00D17EA9"/>
    <w:rsid w:val="00D96415"/>
    <w:rsid w:val="00DA418C"/>
    <w:rsid w:val="00DE413F"/>
    <w:rsid w:val="00E133ED"/>
    <w:rsid w:val="00EA7169"/>
    <w:rsid w:val="00F162FC"/>
    <w:rsid w:val="00F73F66"/>
    <w:rsid w:val="00FC61B1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049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0499F"/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049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CH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0499F"/>
    <w:rPr>
      <w:rFonts w:asciiTheme="minorHAnsi" w:eastAsiaTheme="minorHAnsi" w:hAnsiTheme="minorHAnsi" w:cstheme="minorBidi"/>
      <w:sz w:val="22"/>
      <w:szCs w:val="22"/>
      <w:bdr w:val="none" w:sz="0" w:space="0" w:color="auto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UN-REDD</dc:creator>
  <cp:lastModifiedBy>Mihaela Secrieru</cp:lastModifiedBy>
  <cp:revision>4</cp:revision>
  <dcterms:created xsi:type="dcterms:W3CDTF">2018-10-04T13:43:00Z</dcterms:created>
  <dcterms:modified xsi:type="dcterms:W3CDTF">2018-10-04T16:36:00Z</dcterms:modified>
</cp:coreProperties>
</file>